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4A03" w14:textId="77777777" w:rsidR="00E1019A" w:rsidRPr="00131909" w:rsidRDefault="00066677" w:rsidP="001D4E9E">
      <w:pPr>
        <w:pStyle w:val="Heading1"/>
        <w:jc w:val="right"/>
        <w:rPr>
          <w:rFonts w:cs="Arial"/>
          <w:sz w:val="22"/>
          <w:szCs w:val="22"/>
        </w:rPr>
      </w:pPr>
      <w:r w:rsidRPr="00131909">
        <w:rPr>
          <w:rFonts w:cs="Arial"/>
          <w:noProof/>
          <w:sz w:val="22"/>
          <w:szCs w:val="22"/>
          <w:lang w:eastAsia="en-GB"/>
        </w:rPr>
        <mc:AlternateContent>
          <mc:Choice Requires="wps">
            <w:drawing>
              <wp:anchor distT="0" distB="0" distL="114300" distR="114300" simplePos="0" relativeHeight="251658240" behindDoc="0" locked="0" layoutInCell="1" allowOverlap="1" wp14:anchorId="1570AA9E" wp14:editId="1E4E1AA2">
                <wp:simplePos x="0" y="0"/>
                <wp:positionH relativeFrom="column">
                  <wp:posOffset>4462145</wp:posOffset>
                </wp:positionH>
                <wp:positionV relativeFrom="paragraph">
                  <wp:posOffset>-370840</wp:posOffset>
                </wp:positionV>
                <wp:extent cx="1447800" cy="14382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35pt;margin-top:-29.2pt;width:114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i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" stroked="f">
                <v:textbo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11" r:link="rId12"/>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v:textbox>
              </v:shape>
            </w:pict>
          </mc:Fallback>
        </mc:AlternateContent>
      </w:r>
    </w:p>
    <w:p w14:paraId="0D3D3C45" w14:textId="77777777" w:rsidR="00E1019A" w:rsidRPr="00131909" w:rsidRDefault="00E1019A" w:rsidP="00E1019A">
      <w:pPr>
        <w:rPr>
          <w:rFonts w:ascii="Arial" w:hAnsi="Arial" w:cs="Arial"/>
          <w:sz w:val="22"/>
          <w:szCs w:val="22"/>
        </w:rPr>
      </w:pPr>
    </w:p>
    <w:p w14:paraId="013DDB1E" w14:textId="77777777" w:rsidR="00CC4999" w:rsidRPr="00131909" w:rsidRDefault="00CC4999" w:rsidP="00E1019A">
      <w:pPr>
        <w:rPr>
          <w:rFonts w:ascii="Arial" w:hAnsi="Arial" w:cs="Arial"/>
          <w:sz w:val="22"/>
          <w:szCs w:val="22"/>
        </w:rPr>
      </w:pPr>
    </w:p>
    <w:p w14:paraId="3D0BBC48" w14:textId="77777777" w:rsidR="00CC4999" w:rsidRPr="00131909" w:rsidRDefault="00CC4999" w:rsidP="00E1019A">
      <w:pPr>
        <w:rPr>
          <w:rFonts w:ascii="Arial" w:hAnsi="Arial" w:cs="Arial"/>
          <w:sz w:val="22"/>
          <w:szCs w:val="22"/>
        </w:rPr>
      </w:pPr>
    </w:p>
    <w:p w14:paraId="0642DA59" w14:textId="77777777" w:rsidR="00CC4999" w:rsidRPr="00131909" w:rsidRDefault="00CC4999" w:rsidP="00E1019A">
      <w:pPr>
        <w:rPr>
          <w:rFonts w:ascii="Arial" w:hAnsi="Arial" w:cs="Arial"/>
          <w:sz w:val="22"/>
          <w:szCs w:val="22"/>
        </w:rPr>
      </w:pPr>
    </w:p>
    <w:p w14:paraId="4DBF2C26" w14:textId="77777777" w:rsidR="00CC4999" w:rsidRPr="00131909" w:rsidRDefault="00CC4999" w:rsidP="00E1019A">
      <w:pPr>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9231"/>
      </w:tblGrid>
      <w:tr w:rsidR="00E1019A" w:rsidRPr="00131909" w14:paraId="3316E241" w14:textId="77777777">
        <w:trPr>
          <w:trHeight w:val="344"/>
        </w:trPr>
        <w:tc>
          <w:tcPr>
            <w:tcW w:w="9231" w:type="dxa"/>
            <w:noWrap/>
            <w:tcMar>
              <w:top w:w="17" w:type="dxa"/>
              <w:left w:w="17" w:type="dxa"/>
              <w:bottom w:w="0" w:type="dxa"/>
              <w:right w:w="17" w:type="dxa"/>
            </w:tcMar>
            <w:vAlign w:val="bottom"/>
          </w:tcPr>
          <w:p w14:paraId="3A0D80E7" w14:textId="316C2F0E" w:rsidR="00E1019A" w:rsidRPr="00131909" w:rsidRDefault="001D4E9E" w:rsidP="0004392D">
            <w:pPr>
              <w:keepNext/>
              <w:rPr>
                <w:rFonts w:ascii="Arial" w:hAnsi="Arial" w:cs="Arial"/>
                <w:b/>
                <w:sz w:val="32"/>
                <w:szCs w:val="32"/>
              </w:rPr>
            </w:pPr>
            <w:r w:rsidRPr="00131909">
              <w:rPr>
                <w:rFonts w:ascii="Arial" w:hAnsi="Arial" w:cs="Arial"/>
                <w:b/>
                <w:sz w:val="32"/>
                <w:szCs w:val="32"/>
              </w:rPr>
              <w:t>Cheshire &amp; Warrington Local Transport Body</w:t>
            </w:r>
          </w:p>
        </w:tc>
      </w:tr>
    </w:tbl>
    <w:p w14:paraId="0FF2A445" w14:textId="77777777" w:rsidR="00E1019A" w:rsidRPr="00131909" w:rsidRDefault="00E1019A" w:rsidP="00E1019A">
      <w:pPr>
        <w:ind w:right="-874"/>
        <w:rPr>
          <w:rFonts w:ascii="Arial" w:hAnsi="Arial" w:cs="Arial"/>
          <w:sz w:val="22"/>
          <w:szCs w:val="22"/>
        </w:rPr>
      </w:pPr>
    </w:p>
    <w:tbl>
      <w:tblPr>
        <w:tblW w:w="9180" w:type="dxa"/>
        <w:tblBorders>
          <w:top w:val="single" w:sz="4" w:space="0" w:color="auto"/>
          <w:bottom w:val="single" w:sz="4" w:space="0" w:color="auto"/>
        </w:tblBorders>
        <w:tblCellMar>
          <w:top w:w="57" w:type="dxa"/>
          <w:left w:w="0" w:type="dxa"/>
          <w:bottom w:w="57" w:type="dxa"/>
        </w:tblCellMar>
        <w:tblLook w:val="0000" w:firstRow="0" w:lastRow="0" w:firstColumn="0" w:lastColumn="0" w:noHBand="0" w:noVBand="0"/>
      </w:tblPr>
      <w:tblGrid>
        <w:gridCol w:w="2537"/>
        <w:gridCol w:w="6643"/>
      </w:tblGrid>
      <w:tr w:rsidR="00E1019A" w:rsidRPr="00131909" w14:paraId="25E56DDD" w14:textId="77777777" w:rsidTr="006B7366">
        <w:trPr>
          <w:cantSplit/>
        </w:trPr>
        <w:tc>
          <w:tcPr>
            <w:tcW w:w="2537" w:type="dxa"/>
          </w:tcPr>
          <w:p w14:paraId="6A949792" w14:textId="77777777" w:rsidR="00E1019A" w:rsidRPr="00131909" w:rsidRDefault="00E1019A" w:rsidP="00BA234C">
            <w:pPr>
              <w:tabs>
                <w:tab w:val="left" w:pos="2160"/>
                <w:tab w:val="left" w:pos="7920"/>
              </w:tabs>
              <w:rPr>
                <w:rFonts w:ascii="Arial" w:hAnsi="Arial" w:cs="Arial"/>
                <w:b/>
                <w:bCs/>
                <w:sz w:val="22"/>
                <w:szCs w:val="22"/>
              </w:rPr>
            </w:pPr>
          </w:p>
          <w:p w14:paraId="6187B832" w14:textId="77777777" w:rsidR="00E1019A" w:rsidRPr="00131909" w:rsidRDefault="00E1019A" w:rsidP="00BA234C">
            <w:pPr>
              <w:tabs>
                <w:tab w:val="left" w:pos="2160"/>
                <w:tab w:val="left" w:pos="7920"/>
              </w:tabs>
              <w:rPr>
                <w:rFonts w:ascii="Arial" w:hAnsi="Arial" w:cs="Arial"/>
                <w:sz w:val="22"/>
                <w:szCs w:val="22"/>
              </w:rPr>
            </w:pPr>
            <w:r w:rsidRPr="00131909">
              <w:rPr>
                <w:rFonts w:ascii="Arial" w:hAnsi="Arial" w:cs="Arial"/>
                <w:b/>
                <w:bCs/>
                <w:sz w:val="22"/>
                <w:szCs w:val="22"/>
              </w:rPr>
              <w:t>Date of Meeting:</w:t>
            </w:r>
          </w:p>
        </w:tc>
        <w:tc>
          <w:tcPr>
            <w:tcW w:w="6643" w:type="dxa"/>
          </w:tcPr>
          <w:p w14:paraId="2EB22F2E" w14:textId="77777777" w:rsidR="00E1019A" w:rsidRPr="00131909" w:rsidRDefault="00E1019A" w:rsidP="00BA234C">
            <w:pPr>
              <w:pStyle w:val="DefaultText"/>
              <w:tabs>
                <w:tab w:val="left" w:pos="2160"/>
                <w:tab w:val="left" w:pos="7920"/>
              </w:tabs>
              <w:autoSpaceDE/>
              <w:adjustRightInd/>
              <w:rPr>
                <w:rFonts w:ascii="Arial" w:hAnsi="Arial" w:cs="Arial"/>
                <w:sz w:val="22"/>
                <w:szCs w:val="22"/>
                <w:lang w:val="en-GB"/>
              </w:rPr>
            </w:pPr>
          </w:p>
          <w:p w14:paraId="04C8C976" w14:textId="6A70C53D" w:rsidR="00E1019A" w:rsidRPr="00131909" w:rsidRDefault="00C31D46"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Friday 6 April 2018</w:t>
            </w:r>
          </w:p>
        </w:tc>
      </w:tr>
      <w:tr w:rsidR="00E1019A" w:rsidRPr="00131909" w14:paraId="38DC41F6" w14:textId="77777777" w:rsidTr="006B7366">
        <w:trPr>
          <w:cantSplit/>
        </w:trPr>
        <w:tc>
          <w:tcPr>
            <w:tcW w:w="2537" w:type="dxa"/>
          </w:tcPr>
          <w:p w14:paraId="6DB48163"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Report of:</w:t>
            </w:r>
          </w:p>
        </w:tc>
        <w:tc>
          <w:tcPr>
            <w:tcW w:w="6643" w:type="dxa"/>
          </w:tcPr>
          <w:p w14:paraId="40D4A575" w14:textId="77777777" w:rsidR="00E1019A" w:rsidRPr="00131909" w:rsidRDefault="008C593F"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Roy Newton</w:t>
            </w:r>
          </w:p>
        </w:tc>
      </w:tr>
      <w:tr w:rsidR="00E1019A" w:rsidRPr="00131909" w14:paraId="67F6ED5A" w14:textId="77777777" w:rsidTr="006B7366">
        <w:trPr>
          <w:cantSplit/>
        </w:trPr>
        <w:tc>
          <w:tcPr>
            <w:tcW w:w="2537" w:type="dxa"/>
          </w:tcPr>
          <w:p w14:paraId="74DB46A4"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Subject/Title:</w:t>
            </w:r>
          </w:p>
        </w:tc>
        <w:tc>
          <w:tcPr>
            <w:tcW w:w="6643" w:type="dxa"/>
          </w:tcPr>
          <w:p w14:paraId="1B31FE56" w14:textId="0AD6A9F3" w:rsidR="00E1019A" w:rsidRPr="00131909" w:rsidRDefault="00C31D46"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Sustainable Travel Access Fund</w:t>
            </w:r>
          </w:p>
        </w:tc>
      </w:tr>
      <w:tr w:rsidR="000934E0" w:rsidRPr="00131909" w14:paraId="2244D836" w14:textId="77777777" w:rsidTr="006B7366">
        <w:trPr>
          <w:cantSplit/>
        </w:trPr>
        <w:tc>
          <w:tcPr>
            <w:tcW w:w="2537" w:type="dxa"/>
          </w:tcPr>
          <w:p w14:paraId="06FC73CF" w14:textId="77777777" w:rsidR="000934E0" w:rsidRPr="00131909" w:rsidRDefault="000934E0" w:rsidP="00BA234C">
            <w:pPr>
              <w:tabs>
                <w:tab w:val="left" w:pos="2160"/>
                <w:tab w:val="left" w:pos="7920"/>
              </w:tabs>
              <w:rPr>
                <w:rFonts w:ascii="Arial" w:hAnsi="Arial" w:cs="Arial"/>
                <w:b/>
                <w:bCs/>
                <w:sz w:val="22"/>
                <w:szCs w:val="22"/>
              </w:rPr>
            </w:pPr>
          </w:p>
        </w:tc>
        <w:tc>
          <w:tcPr>
            <w:tcW w:w="6643" w:type="dxa"/>
          </w:tcPr>
          <w:p w14:paraId="1DF38512" w14:textId="77777777" w:rsidR="000934E0" w:rsidRPr="00131909" w:rsidRDefault="000934E0" w:rsidP="00BA234C">
            <w:pPr>
              <w:pStyle w:val="DefaultText"/>
              <w:tabs>
                <w:tab w:val="left" w:pos="2160"/>
                <w:tab w:val="left" w:pos="7920"/>
              </w:tabs>
              <w:autoSpaceDE/>
              <w:adjustRightInd/>
              <w:rPr>
                <w:rFonts w:ascii="Arial" w:hAnsi="Arial" w:cs="Arial"/>
                <w:bCs/>
                <w:sz w:val="22"/>
                <w:szCs w:val="22"/>
              </w:rPr>
            </w:pPr>
          </w:p>
        </w:tc>
      </w:tr>
    </w:tbl>
    <w:p w14:paraId="46274CD5" w14:textId="77777777" w:rsidR="00C173E7" w:rsidRPr="00131909" w:rsidRDefault="00C173E7" w:rsidP="00E1019A">
      <w:pPr>
        <w:tabs>
          <w:tab w:val="left" w:pos="2160"/>
          <w:tab w:val="left" w:pos="9180"/>
        </w:tabs>
        <w:ind w:right="390"/>
        <w:rPr>
          <w:rFonts w:ascii="Arial" w:hAnsi="Arial" w:cs="Arial"/>
          <w:sz w:val="22"/>
          <w:szCs w:val="22"/>
        </w:rPr>
      </w:pPr>
    </w:p>
    <w:p w14:paraId="6CBB7093" w14:textId="77777777" w:rsidR="00C173E7" w:rsidRPr="00131909" w:rsidRDefault="00C173E7"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 xml:space="preserve">Report Summary </w:t>
      </w:r>
    </w:p>
    <w:p w14:paraId="6DDAB880" w14:textId="17695430" w:rsidR="00F53741" w:rsidRPr="00131909" w:rsidRDefault="00FC3A4E" w:rsidP="00FC3A4E">
      <w:pPr>
        <w:pStyle w:val="NoSpacing"/>
        <w:numPr>
          <w:ilvl w:val="1"/>
          <w:numId w:val="33"/>
        </w:numPr>
        <w:spacing w:after="120"/>
        <w:ind w:left="709" w:hanging="709"/>
        <w:jc w:val="both"/>
        <w:rPr>
          <w:rFonts w:ascii="Arial" w:hAnsi="Arial" w:cs="Arial"/>
          <w:sz w:val="22"/>
          <w:szCs w:val="22"/>
        </w:rPr>
      </w:pPr>
      <w:r w:rsidRPr="00131909">
        <w:rPr>
          <w:rFonts w:ascii="Arial" w:hAnsi="Arial" w:cs="Arial"/>
          <w:sz w:val="22"/>
          <w:szCs w:val="22"/>
        </w:rPr>
        <w:t>The C&amp;W LEP was awarded £5 million as part of Local Growth Fund (LGF) to fund projects as part of the sub-region’s Active Travel Investment Strategy.</w:t>
      </w:r>
      <w:r w:rsidR="00F53741" w:rsidRPr="00131909">
        <w:rPr>
          <w:rFonts w:ascii="Arial" w:hAnsi="Arial" w:cs="Arial"/>
          <w:sz w:val="22"/>
          <w:szCs w:val="22"/>
        </w:rPr>
        <w:t xml:space="preserve"> </w:t>
      </w:r>
      <w:r w:rsidRPr="00131909">
        <w:rPr>
          <w:rFonts w:ascii="Arial" w:hAnsi="Arial" w:cs="Arial"/>
          <w:sz w:val="22"/>
          <w:szCs w:val="22"/>
        </w:rPr>
        <w:t>Local authorities were invited to submit bids for funding towards schemes in line with the intentions set out in the original LGF bid.</w:t>
      </w:r>
    </w:p>
    <w:p w14:paraId="1F0F9A87" w14:textId="39A8A7ED" w:rsidR="00507C6D" w:rsidRDefault="00FC3A4E" w:rsidP="00507C6D">
      <w:pPr>
        <w:pStyle w:val="NoSpacing"/>
        <w:numPr>
          <w:ilvl w:val="1"/>
          <w:numId w:val="33"/>
        </w:numPr>
        <w:spacing w:after="120"/>
        <w:ind w:left="709" w:hanging="709"/>
        <w:jc w:val="both"/>
        <w:rPr>
          <w:rFonts w:ascii="Arial" w:hAnsi="Arial" w:cs="Arial"/>
          <w:sz w:val="22"/>
          <w:szCs w:val="22"/>
        </w:rPr>
      </w:pPr>
      <w:r w:rsidRPr="00DE7670">
        <w:rPr>
          <w:rFonts w:ascii="Arial" w:hAnsi="Arial" w:cs="Arial"/>
          <w:sz w:val="22"/>
          <w:szCs w:val="22"/>
        </w:rPr>
        <w:t xml:space="preserve">Bids were received for </w:t>
      </w:r>
      <w:r w:rsidR="00507C6D" w:rsidRPr="00DE7670">
        <w:rPr>
          <w:rFonts w:ascii="Arial" w:hAnsi="Arial" w:cs="Arial"/>
          <w:sz w:val="22"/>
          <w:szCs w:val="22"/>
        </w:rPr>
        <w:t>8</w:t>
      </w:r>
      <w:r w:rsidRPr="00DE7670">
        <w:rPr>
          <w:rFonts w:ascii="Arial" w:hAnsi="Arial" w:cs="Arial"/>
          <w:sz w:val="22"/>
          <w:szCs w:val="22"/>
        </w:rPr>
        <w:t xml:space="preserve"> schemes totalling </w:t>
      </w:r>
      <w:r w:rsidR="00507C6D" w:rsidRPr="00DE7670">
        <w:rPr>
          <w:rFonts w:ascii="Arial" w:hAnsi="Arial" w:cs="Arial"/>
          <w:sz w:val="22"/>
          <w:szCs w:val="22"/>
        </w:rPr>
        <w:t xml:space="preserve">around </w:t>
      </w:r>
      <w:r w:rsidRPr="00DE7670">
        <w:rPr>
          <w:rFonts w:ascii="Arial" w:hAnsi="Arial" w:cs="Arial"/>
          <w:sz w:val="22"/>
          <w:szCs w:val="22"/>
        </w:rPr>
        <w:t>£</w:t>
      </w:r>
      <w:r w:rsidR="00507C6D" w:rsidRPr="00DE7670">
        <w:rPr>
          <w:rFonts w:ascii="Arial" w:hAnsi="Arial" w:cs="Arial"/>
          <w:sz w:val="22"/>
          <w:szCs w:val="22"/>
        </w:rPr>
        <w:t>7</w:t>
      </w:r>
      <w:r w:rsidRPr="00DE7670">
        <w:rPr>
          <w:rFonts w:ascii="Arial" w:hAnsi="Arial" w:cs="Arial"/>
          <w:sz w:val="22"/>
          <w:szCs w:val="22"/>
        </w:rPr>
        <w:t>.</w:t>
      </w:r>
      <w:r w:rsidR="00507C6D" w:rsidRPr="00DE7670">
        <w:rPr>
          <w:rFonts w:ascii="Arial" w:hAnsi="Arial" w:cs="Arial"/>
          <w:sz w:val="22"/>
          <w:szCs w:val="22"/>
        </w:rPr>
        <w:t>5</w:t>
      </w:r>
      <w:r w:rsidRPr="00DE7670">
        <w:rPr>
          <w:rFonts w:ascii="Arial" w:hAnsi="Arial" w:cs="Arial"/>
          <w:sz w:val="22"/>
          <w:szCs w:val="22"/>
        </w:rPr>
        <w:t xml:space="preserve"> million</w:t>
      </w:r>
      <w:r w:rsidR="00F53741" w:rsidRPr="00DE7670">
        <w:rPr>
          <w:rFonts w:ascii="Arial" w:hAnsi="Arial" w:cs="Arial"/>
          <w:sz w:val="22"/>
          <w:szCs w:val="22"/>
        </w:rPr>
        <w:t>.</w:t>
      </w:r>
      <w:r w:rsidR="006B7366">
        <w:rPr>
          <w:rFonts w:ascii="Arial" w:hAnsi="Arial" w:cs="Arial"/>
          <w:sz w:val="22"/>
          <w:szCs w:val="22"/>
        </w:rPr>
        <w:t xml:space="preserve"> </w:t>
      </w:r>
      <w:r w:rsidR="00F53741" w:rsidRPr="00DE7670">
        <w:rPr>
          <w:rFonts w:ascii="Arial" w:hAnsi="Arial" w:cs="Arial"/>
          <w:sz w:val="22"/>
          <w:szCs w:val="22"/>
        </w:rPr>
        <w:t xml:space="preserve"> </w:t>
      </w:r>
      <w:r w:rsidR="00507C6D" w:rsidRPr="00DE7670">
        <w:rPr>
          <w:rFonts w:ascii="Arial" w:hAnsi="Arial" w:cs="Arial"/>
          <w:sz w:val="22"/>
          <w:szCs w:val="22"/>
        </w:rPr>
        <w:t>Following assessment of the bids and discussions with authorities on the scalability of some of the schemes</w:t>
      </w:r>
      <w:r w:rsidR="00EC6DA2">
        <w:rPr>
          <w:rFonts w:ascii="Arial" w:hAnsi="Arial" w:cs="Arial"/>
          <w:sz w:val="22"/>
          <w:szCs w:val="22"/>
        </w:rPr>
        <w:t xml:space="preserve"> to maximise the outcomes within the available budget</w:t>
      </w:r>
      <w:r w:rsidR="00507C6D" w:rsidRPr="00DE7670">
        <w:rPr>
          <w:rFonts w:ascii="Arial" w:hAnsi="Arial" w:cs="Arial"/>
          <w:sz w:val="22"/>
          <w:szCs w:val="22"/>
        </w:rPr>
        <w:t>, the following distribution of the funds is proposed:</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02"/>
        <w:gridCol w:w="2961"/>
        <w:gridCol w:w="1082"/>
        <w:gridCol w:w="1330"/>
      </w:tblGrid>
      <w:tr w:rsidR="00446330" w:rsidRPr="00131909" w14:paraId="28843173" w14:textId="77777777" w:rsidTr="00446330">
        <w:tc>
          <w:tcPr>
            <w:tcW w:w="3102" w:type="dxa"/>
          </w:tcPr>
          <w:p w14:paraId="24B98088" w14:textId="66E73805" w:rsidR="00446330" w:rsidRPr="00131909" w:rsidRDefault="00446330" w:rsidP="00A75220">
            <w:pPr>
              <w:pStyle w:val="NoSpacing"/>
              <w:spacing w:after="120"/>
              <w:rPr>
                <w:rFonts w:ascii="Arial" w:hAnsi="Arial" w:cs="Arial"/>
                <w:b/>
                <w:sz w:val="22"/>
                <w:szCs w:val="22"/>
              </w:rPr>
            </w:pPr>
            <w:r w:rsidRPr="00131909">
              <w:rPr>
                <w:rFonts w:ascii="Arial" w:hAnsi="Arial" w:cs="Arial"/>
                <w:b/>
                <w:sz w:val="22"/>
                <w:szCs w:val="22"/>
              </w:rPr>
              <w:t>Scheme Name</w:t>
            </w:r>
          </w:p>
        </w:tc>
        <w:tc>
          <w:tcPr>
            <w:tcW w:w="2961" w:type="dxa"/>
          </w:tcPr>
          <w:p w14:paraId="294FF16B" w14:textId="2ADBCC1F" w:rsidR="00446330" w:rsidRPr="00131909" w:rsidRDefault="00446330" w:rsidP="00A75220">
            <w:pPr>
              <w:pStyle w:val="NoSpacing"/>
              <w:spacing w:after="120"/>
              <w:rPr>
                <w:rFonts w:ascii="Arial" w:hAnsi="Arial" w:cs="Arial"/>
                <w:b/>
                <w:sz w:val="22"/>
                <w:szCs w:val="22"/>
              </w:rPr>
            </w:pPr>
            <w:r w:rsidRPr="00131909">
              <w:rPr>
                <w:rFonts w:ascii="Arial" w:hAnsi="Arial" w:cs="Arial"/>
                <w:b/>
                <w:sz w:val="22"/>
                <w:szCs w:val="22"/>
              </w:rPr>
              <w:t>Promoting Authority</w:t>
            </w:r>
          </w:p>
        </w:tc>
        <w:tc>
          <w:tcPr>
            <w:tcW w:w="1082" w:type="dxa"/>
          </w:tcPr>
          <w:p w14:paraId="4FCF5E40" w14:textId="77777777" w:rsidR="00446330" w:rsidRDefault="00446330" w:rsidP="00446330">
            <w:pPr>
              <w:pStyle w:val="NoSpacing"/>
              <w:spacing w:after="120"/>
              <w:rPr>
                <w:rFonts w:ascii="Arial" w:hAnsi="Arial" w:cs="Arial"/>
                <w:b/>
                <w:sz w:val="22"/>
                <w:szCs w:val="22"/>
              </w:rPr>
            </w:pPr>
            <w:r>
              <w:rPr>
                <w:rFonts w:ascii="Arial" w:hAnsi="Arial" w:cs="Arial"/>
                <w:b/>
                <w:sz w:val="22"/>
                <w:szCs w:val="22"/>
              </w:rPr>
              <w:t>Bid</w:t>
            </w:r>
          </w:p>
          <w:p w14:paraId="1B449E22" w14:textId="615FACF7" w:rsidR="00446330" w:rsidRPr="00131909" w:rsidRDefault="00446330" w:rsidP="00446330">
            <w:pPr>
              <w:pStyle w:val="NoSpacing"/>
              <w:spacing w:after="120"/>
              <w:rPr>
                <w:rFonts w:ascii="Arial" w:hAnsi="Arial" w:cs="Arial"/>
                <w:b/>
                <w:sz w:val="22"/>
                <w:szCs w:val="22"/>
              </w:rPr>
            </w:pPr>
            <w:r w:rsidRPr="00131909">
              <w:rPr>
                <w:rFonts w:ascii="Arial" w:hAnsi="Arial" w:cs="Arial"/>
                <w:b/>
                <w:sz w:val="22"/>
                <w:szCs w:val="22"/>
              </w:rPr>
              <w:t>(£’000s)</w:t>
            </w:r>
          </w:p>
        </w:tc>
        <w:tc>
          <w:tcPr>
            <w:tcW w:w="1330" w:type="dxa"/>
          </w:tcPr>
          <w:p w14:paraId="7B84963A" w14:textId="7FEF52B3" w:rsidR="00446330" w:rsidRPr="00131909" w:rsidRDefault="00446330" w:rsidP="00A75220">
            <w:pPr>
              <w:pStyle w:val="NoSpacing"/>
              <w:spacing w:after="120"/>
              <w:jc w:val="right"/>
              <w:rPr>
                <w:rFonts w:ascii="Arial" w:hAnsi="Arial" w:cs="Arial"/>
                <w:b/>
                <w:sz w:val="22"/>
                <w:szCs w:val="22"/>
              </w:rPr>
            </w:pPr>
            <w:r w:rsidRPr="00131909">
              <w:rPr>
                <w:rFonts w:ascii="Arial" w:hAnsi="Arial" w:cs="Arial"/>
                <w:b/>
                <w:sz w:val="22"/>
                <w:szCs w:val="22"/>
              </w:rPr>
              <w:t>Proposed Allocation (£’000s)</w:t>
            </w:r>
          </w:p>
        </w:tc>
      </w:tr>
      <w:tr w:rsidR="00446330" w:rsidRPr="00131909" w14:paraId="0407EDDA" w14:textId="77777777" w:rsidTr="00446330">
        <w:tc>
          <w:tcPr>
            <w:tcW w:w="3102" w:type="dxa"/>
          </w:tcPr>
          <w:p w14:paraId="7269BE59" w14:textId="689F92A9" w:rsidR="00446330" w:rsidRPr="00131909" w:rsidRDefault="00446330" w:rsidP="00446330">
            <w:pPr>
              <w:pStyle w:val="NoSpacing"/>
              <w:spacing w:after="60"/>
              <w:rPr>
                <w:rFonts w:ascii="Arial" w:hAnsi="Arial" w:cs="Arial"/>
                <w:sz w:val="22"/>
                <w:szCs w:val="22"/>
                <w:u w:val="single"/>
              </w:rPr>
            </w:pPr>
            <w:r w:rsidRPr="000D1942">
              <w:rPr>
                <w:rFonts w:ascii="Arial" w:hAnsi="Arial" w:cs="Arial"/>
                <w:sz w:val="22"/>
                <w:szCs w:val="22"/>
              </w:rPr>
              <w:t>Wilmslow Strategic Cycle and Walking Route</w:t>
            </w:r>
            <w:r w:rsidRPr="000D1942">
              <w:rPr>
                <w:rFonts w:ascii="Arial" w:hAnsi="Arial" w:cs="Arial"/>
                <w:sz w:val="22"/>
                <w:szCs w:val="22"/>
              </w:rPr>
              <w:tab/>
            </w:r>
          </w:p>
        </w:tc>
        <w:tc>
          <w:tcPr>
            <w:tcW w:w="2961" w:type="dxa"/>
          </w:tcPr>
          <w:p w14:paraId="015F30BE" w14:textId="4D328320"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Cheshire East Council</w:t>
            </w:r>
          </w:p>
        </w:tc>
        <w:tc>
          <w:tcPr>
            <w:tcW w:w="1082" w:type="dxa"/>
          </w:tcPr>
          <w:p w14:paraId="081D65C3" w14:textId="6A163A83" w:rsidR="00446330" w:rsidRPr="00131909" w:rsidRDefault="001B761F" w:rsidP="00446330">
            <w:pPr>
              <w:pStyle w:val="NoSpacing"/>
              <w:spacing w:after="60"/>
              <w:jc w:val="right"/>
              <w:rPr>
                <w:rFonts w:ascii="Arial" w:hAnsi="Arial" w:cs="Arial"/>
                <w:sz w:val="22"/>
                <w:szCs w:val="22"/>
              </w:rPr>
            </w:pPr>
            <w:r>
              <w:rPr>
                <w:rFonts w:ascii="Arial" w:hAnsi="Arial" w:cs="Arial"/>
                <w:sz w:val="22"/>
                <w:szCs w:val="22"/>
              </w:rPr>
              <w:t>850</w:t>
            </w:r>
          </w:p>
        </w:tc>
        <w:tc>
          <w:tcPr>
            <w:tcW w:w="1330" w:type="dxa"/>
          </w:tcPr>
          <w:p w14:paraId="5DB857AA" w14:textId="327330A1" w:rsidR="00446330" w:rsidRPr="00131909" w:rsidRDefault="00446330" w:rsidP="00446330">
            <w:pPr>
              <w:pStyle w:val="NoSpacing"/>
              <w:spacing w:after="60"/>
              <w:jc w:val="right"/>
              <w:rPr>
                <w:rFonts w:ascii="Arial" w:hAnsi="Arial" w:cs="Arial"/>
                <w:sz w:val="22"/>
                <w:szCs w:val="22"/>
                <w:u w:val="single"/>
              </w:rPr>
            </w:pPr>
            <w:r w:rsidRPr="00131909">
              <w:rPr>
                <w:rFonts w:ascii="Arial" w:hAnsi="Arial" w:cs="Arial"/>
                <w:sz w:val="22"/>
                <w:szCs w:val="22"/>
              </w:rPr>
              <w:t>500</w:t>
            </w:r>
          </w:p>
        </w:tc>
      </w:tr>
      <w:tr w:rsidR="00446330" w:rsidRPr="00131909" w14:paraId="09818D6C" w14:textId="77777777" w:rsidTr="00446330">
        <w:tc>
          <w:tcPr>
            <w:tcW w:w="3102" w:type="dxa"/>
          </w:tcPr>
          <w:p w14:paraId="7113EE4C" w14:textId="1E1AFF2A" w:rsidR="00446330" w:rsidRPr="00131909" w:rsidRDefault="00446330" w:rsidP="00446330">
            <w:pPr>
              <w:pStyle w:val="NoSpacing"/>
              <w:spacing w:after="60"/>
              <w:rPr>
                <w:rFonts w:ascii="Arial" w:hAnsi="Arial" w:cs="Arial"/>
                <w:sz w:val="22"/>
                <w:szCs w:val="22"/>
              </w:rPr>
            </w:pPr>
            <w:r w:rsidRPr="000D1942">
              <w:rPr>
                <w:rFonts w:ascii="Arial" w:hAnsi="Arial" w:cs="Arial"/>
                <w:sz w:val="22"/>
                <w:szCs w:val="22"/>
              </w:rPr>
              <w:t>Northwest Crewe Cycling and Walking Link</w:t>
            </w:r>
            <w:r w:rsidRPr="000D1942">
              <w:rPr>
                <w:rFonts w:ascii="Arial" w:hAnsi="Arial" w:cs="Arial"/>
                <w:sz w:val="22"/>
                <w:szCs w:val="22"/>
              </w:rPr>
              <w:tab/>
            </w:r>
          </w:p>
        </w:tc>
        <w:tc>
          <w:tcPr>
            <w:tcW w:w="2961" w:type="dxa"/>
          </w:tcPr>
          <w:p w14:paraId="24A9D58B" w14:textId="0AA42F45"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Cheshire East Council</w:t>
            </w:r>
          </w:p>
        </w:tc>
        <w:tc>
          <w:tcPr>
            <w:tcW w:w="1082" w:type="dxa"/>
          </w:tcPr>
          <w:p w14:paraId="1E51D180" w14:textId="6CB6D674" w:rsidR="00446330" w:rsidRPr="00131909" w:rsidRDefault="001B761F" w:rsidP="00446330">
            <w:pPr>
              <w:pStyle w:val="NoSpacing"/>
              <w:spacing w:after="60"/>
              <w:jc w:val="right"/>
              <w:rPr>
                <w:rFonts w:ascii="Arial" w:hAnsi="Arial" w:cs="Arial"/>
                <w:sz w:val="22"/>
                <w:szCs w:val="22"/>
              </w:rPr>
            </w:pPr>
            <w:r>
              <w:rPr>
                <w:rFonts w:ascii="Arial" w:hAnsi="Arial" w:cs="Arial"/>
                <w:sz w:val="22"/>
                <w:szCs w:val="22"/>
              </w:rPr>
              <w:t>1200</w:t>
            </w:r>
          </w:p>
        </w:tc>
        <w:tc>
          <w:tcPr>
            <w:tcW w:w="1330" w:type="dxa"/>
          </w:tcPr>
          <w:p w14:paraId="2271F99C" w14:textId="6AD59213" w:rsidR="00446330" w:rsidRPr="00131909" w:rsidRDefault="00446330" w:rsidP="00446330">
            <w:pPr>
              <w:pStyle w:val="NoSpacing"/>
              <w:spacing w:after="60"/>
              <w:jc w:val="right"/>
              <w:rPr>
                <w:rFonts w:ascii="Arial" w:hAnsi="Arial" w:cs="Arial"/>
                <w:sz w:val="22"/>
                <w:szCs w:val="22"/>
              </w:rPr>
            </w:pPr>
            <w:r w:rsidRPr="00131909">
              <w:rPr>
                <w:rFonts w:ascii="Arial" w:hAnsi="Arial" w:cs="Arial"/>
                <w:sz w:val="22"/>
                <w:szCs w:val="22"/>
              </w:rPr>
              <w:t>1100</w:t>
            </w:r>
          </w:p>
        </w:tc>
      </w:tr>
      <w:tr w:rsidR="00446330" w:rsidRPr="00131909" w14:paraId="4FDC4A8F" w14:textId="77777777" w:rsidTr="00446330">
        <w:tc>
          <w:tcPr>
            <w:tcW w:w="3102" w:type="dxa"/>
          </w:tcPr>
          <w:p w14:paraId="3F3C768C" w14:textId="28EC338B" w:rsidR="00446330" w:rsidRPr="00131909" w:rsidRDefault="00446330" w:rsidP="00446330">
            <w:pPr>
              <w:pStyle w:val="NoSpacing"/>
              <w:spacing w:after="60"/>
              <w:rPr>
                <w:rFonts w:ascii="Arial" w:hAnsi="Arial" w:cs="Arial"/>
                <w:sz w:val="22"/>
                <w:szCs w:val="22"/>
                <w:u w:val="single"/>
              </w:rPr>
            </w:pPr>
            <w:r w:rsidRPr="00131909">
              <w:rPr>
                <w:rFonts w:ascii="Arial" w:hAnsi="Arial" w:cs="Arial"/>
                <w:sz w:val="22"/>
                <w:szCs w:val="22"/>
              </w:rPr>
              <w:t xml:space="preserve">A5117 Cycle Route, Ellesmere Port </w:t>
            </w:r>
          </w:p>
        </w:tc>
        <w:tc>
          <w:tcPr>
            <w:tcW w:w="2961" w:type="dxa"/>
          </w:tcPr>
          <w:p w14:paraId="3F6230D4" w14:textId="56959D4B"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Cheshire West &amp; Chester Council</w:t>
            </w:r>
          </w:p>
        </w:tc>
        <w:tc>
          <w:tcPr>
            <w:tcW w:w="1082" w:type="dxa"/>
          </w:tcPr>
          <w:p w14:paraId="564C97C4" w14:textId="3D4DFF86" w:rsidR="00446330" w:rsidRPr="00131909" w:rsidRDefault="001B761F" w:rsidP="00446330">
            <w:pPr>
              <w:pStyle w:val="NoSpacing"/>
              <w:spacing w:after="60"/>
              <w:jc w:val="right"/>
              <w:rPr>
                <w:rFonts w:ascii="Arial" w:hAnsi="Arial" w:cs="Arial"/>
                <w:sz w:val="22"/>
                <w:szCs w:val="22"/>
              </w:rPr>
            </w:pPr>
            <w:r>
              <w:rPr>
                <w:rFonts w:ascii="Arial" w:hAnsi="Arial" w:cs="Arial"/>
                <w:sz w:val="22"/>
                <w:szCs w:val="22"/>
              </w:rPr>
              <w:t>380</w:t>
            </w:r>
          </w:p>
        </w:tc>
        <w:tc>
          <w:tcPr>
            <w:tcW w:w="1330" w:type="dxa"/>
          </w:tcPr>
          <w:p w14:paraId="0D9CB519" w14:textId="43DED2DF" w:rsidR="00446330" w:rsidRPr="00131909" w:rsidRDefault="00446330" w:rsidP="00446330">
            <w:pPr>
              <w:pStyle w:val="NoSpacing"/>
              <w:spacing w:after="60"/>
              <w:jc w:val="right"/>
              <w:rPr>
                <w:rFonts w:ascii="Arial" w:hAnsi="Arial" w:cs="Arial"/>
                <w:sz w:val="22"/>
                <w:szCs w:val="22"/>
                <w:u w:val="single"/>
              </w:rPr>
            </w:pPr>
            <w:r w:rsidRPr="00131909">
              <w:rPr>
                <w:rFonts w:ascii="Arial" w:hAnsi="Arial" w:cs="Arial"/>
                <w:sz w:val="22"/>
                <w:szCs w:val="22"/>
              </w:rPr>
              <w:t>380</w:t>
            </w:r>
          </w:p>
        </w:tc>
      </w:tr>
      <w:tr w:rsidR="00446330" w:rsidRPr="00131909" w14:paraId="152323A5" w14:textId="77777777" w:rsidTr="00446330">
        <w:tc>
          <w:tcPr>
            <w:tcW w:w="3102" w:type="dxa"/>
          </w:tcPr>
          <w:p w14:paraId="51253EEB" w14:textId="0882369D" w:rsidR="00446330" w:rsidRPr="00131909" w:rsidRDefault="00446330" w:rsidP="00446330">
            <w:pPr>
              <w:pStyle w:val="NoSpacing"/>
              <w:spacing w:after="60"/>
              <w:rPr>
                <w:rFonts w:ascii="Arial" w:hAnsi="Arial" w:cs="Arial"/>
                <w:sz w:val="22"/>
                <w:szCs w:val="22"/>
                <w:u w:val="single"/>
              </w:rPr>
            </w:pPr>
            <w:r w:rsidRPr="00131909">
              <w:rPr>
                <w:rFonts w:ascii="Arial" w:hAnsi="Arial" w:cs="Arial"/>
                <w:sz w:val="22"/>
                <w:szCs w:val="22"/>
              </w:rPr>
              <w:t>Sutton Way Boulevard, Ellesmere Port</w:t>
            </w:r>
          </w:p>
        </w:tc>
        <w:tc>
          <w:tcPr>
            <w:tcW w:w="2961" w:type="dxa"/>
          </w:tcPr>
          <w:p w14:paraId="2C41CF04" w14:textId="64280E71"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Cheshire West &amp; Chester Council</w:t>
            </w:r>
          </w:p>
        </w:tc>
        <w:tc>
          <w:tcPr>
            <w:tcW w:w="1082" w:type="dxa"/>
          </w:tcPr>
          <w:p w14:paraId="36C8E107" w14:textId="74509A5B" w:rsidR="00446330" w:rsidRPr="00131909" w:rsidRDefault="001B761F" w:rsidP="00446330">
            <w:pPr>
              <w:pStyle w:val="NoSpacing"/>
              <w:spacing w:after="60"/>
              <w:jc w:val="right"/>
              <w:rPr>
                <w:rFonts w:ascii="Arial" w:hAnsi="Arial" w:cs="Arial"/>
                <w:sz w:val="22"/>
                <w:szCs w:val="22"/>
              </w:rPr>
            </w:pPr>
            <w:r>
              <w:rPr>
                <w:rFonts w:ascii="Arial" w:hAnsi="Arial" w:cs="Arial"/>
                <w:sz w:val="22"/>
                <w:szCs w:val="22"/>
              </w:rPr>
              <w:t>640</w:t>
            </w:r>
          </w:p>
        </w:tc>
        <w:tc>
          <w:tcPr>
            <w:tcW w:w="1330" w:type="dxa"/>
          </w:tcPr>
          <w:p w14:paraId="1CEB9796" w14:textId="5367237A" w:rsidR="00446330" w:rsidRPr="00131909" w:rsidRDefault="00446330" w:rsidP="00446330">
            <w:pPr>
              <w:pStyle w:val="NoSpacing"/>
              <w:spacing w:after="60"/>
              <w:jc w:val="right"/>
              <w:rPr>
                <w:rFonts w:ascii="Arial" w:hAnsi="Arial" w:cs="Arial"/>
                <w:sz w:val="22"/>
                <w:szCs w:val="22"/>
                <w:u w:val="single"/>
              </w:rPr>
            </w:pPr>
            <w:r w:rsidRPr="00131909">
              <w:rPr>
                <w:rFonts w:ascii="Arial" w:hAnsi="Arial" w:cs="Arial"/>
                <w:sz w:val="22"/>
                <w:szCs w:val="22"/>
              </w:rPr>
              <w:t>640</w:t>
            </w:r>
          </w:p>
        </w:tc>
      </w:tr>
      <w:tr w:rsidR="00446330" w:rsidRPr="00131909" w14:paraId="459399B1" w14:textId="77777777" w:rsidTr="00446330">
        <w:tc>
          <w:tcPr>
            <w:tcW w:w="3102" w:type="dxa"/>
          </w:tcPr>
          <w:p w14:paraId="74D624A4" w14:textId="551A95E0"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 xml:space="preserve">Station View and Canal Towpath Enhancement </w:t>
            </w:r>
          </w:p>
        </w:tc>
        <w:tc>
          <w:tcPr>
            <w:tcW w:w="2961" w:type="dxa"/>
          </w:tcPr>
          <w:p w14:paraId="5648956C" w14:textId="3382373C"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Cheshire West &amp; Chester Council</w:t>
            </w:r>
          </w:p>
        </w:tc>
        <w:tc>
          <w:tcPr>
            <w:tcW w:w="1082" w:type="dxa"/>
          </w:tcPr>
          <w:p w14:paraId="2F52C196" w14:textId="533E9DBA" w:rsidR="00446330" w:rsidRPr="00131909" w:rsidRDefault="001B761F" w:rsidP="00446330">
            <w:pPr>
              <w:pStyle w:val="NoSpacing"/>
              <w:spacing w:after="60"/>
              <w:jc w:val="right"/>
              <w:rPr>
                <w:rFonts w:ascii="Arial" w:hAnsi="Arial" w:cs="Arial"/>
                <w:sz w:val="22"/>
                <w:szCs w:val="22"/>
              </w:rPr>
            </w:pPr>
            <w:r>
              <w:rPr>
                <w:rFonts w:ascii="Arial" w:hAnsi="Arial" w:cs="Arial"/>
                <w:sz w:val="22"/>
                <w:szCs w:val="22"/>
              </w:rPr>
              <w:t>2739</w:t>
            </w:r>
          </w:p>
        </w:tc>
        <w:tc>
          <w:tcPr>
            <w:tcW w:w="1330" w:type="dxa"/>
          </w:tcPr>
          <w:p w14:paraId="39993503" w14:textId="536D9DFC" w:rsidR="00446330" w:rsidRPr="00131909" w:rsidRDefault="00446330" w:rsidP="00446330">
            <w:pPr>
              <w:pStyle w:val="NoSpacing"/>
              <w:spacing w:after="60"/>
              <w:jc w:val="right"/>
              <w:rPr>
                <w:rFonts w:ascii="Arial" w:hAnsi="Arial" w:cs="Arial"/>
                <w:sz w:val="22"/>
                <w:szCs w:val="22"/>
              </w:rPr>
            </w:pPr>
            <w:r w:rsidRPr="00131909">
              <w:rPr>
                <w:rFonts w:ascii="Arial" w:hAnsi="Arial" w:cs="Arial"/>
                <w:sz w:val="22"/>
                <w:szCs w:val="22"/>
              </w:rPr>
              <w:t>680</w:t>
            </w:r>
          </w:p>
        </w:tc>
      </w:tr>
      <w:tr w:rsidR="00446330" w:rsidRPr="00131909" w14:paraId="3965B0A2" w14:textId="77777777" w:rsidTr="00446330">
        <w:tc>
          <w:tcPr>
            <w:tcW w:w="3102" w:type="dxa"/>
          </w:tcPr>
          <w:p w14:paraId="001B35BB" w14:textId="53C3E8C8" w:rsidR="00446330" w:rsidRPr="00131909" w:rsidRDefault="00446330" w:rsidP="00446330">
            <w:pPr>
              <w:pStyle w:val="NoSpacing"/>
              <w:spacing w:after="60"/>
              <w:rPr>
                <w:rFonts w:ascii="Arial" w:hAnsi="Arial" w:cs="Arial"/>
                <w:sz w:val="22"/>
                <w:szCs w:val="22"/>
                <w:u w:val="single"/>
              </w:rPr>
            </w:pPr>
            <w:r w:rsidRPr="00131909">
              <w:rPr>
                <w:rFonts w:ascii="Arial" w:hAnsi="Arial" w:cs="Arial"/>
                <w:sz w:val="22"/>
                <w:szCs w:val="22"/>
              </w:rPr>
              <w:t xml:space="preserve">Trans Pennine Trail upgrade </w:t>
            </w:r>
            <w:r w:rsidRPr="00131909">
              <w:rPr>
                <w:rFonts w:ascii="Arial" w:hAnsi="Arial" w:cs="Arial"/>
                <w:sz w:val="22"/>
                <w:szCs w:val="22"/>
              </w:rPr>
              <w:tab/>
              <w:t xml:space="preserve"> </w:t>
            </w:r>
          </w:p>
        </w:tc>
        <w:tc>
          <w:tcPr>
            <w:tcW w:w="2961" w:type="dxa"/>
          </w:tcPr>
          <w:p w14:paraId="31AE5DE6" w14:textId="31742947"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Warrington Council</w:t>
            </w:r>
          </w:p>
        </w:tc>
        <w:tc>
          <w:tcPr>
            <w:tcW w:w="1082" w:type="dxa"/>
          </w:tcPr>
          <w:p w14:paraId="73456DEA" w14:textId="76BA8615" w:rsidR="00446330" w:rsidRPr="00131909" w:rsidRDefault="001B761F" w:rsidP="00446330">
            <w:pPr>
              <w:pStyle w:val="NoSpacing"/>
              <w:spacing w:after="60"/>
              <w:jc w:val="right"/>
              <w:rPr>
                <w:rFonts w:ascii="Arial" w:hAnsi="Arial" w:cs="Arial"/>
                <w:sz w:val="22"/>
                <w:szCs w:val="22"/>
              </w:rPr>
            </w:pPr>
            <w:r>
              <w:rPr>
                <w:rFonts w:ascii="Arial" w:hAnsi="Arial" w:cs="Arial"/>
                <w:sz w:val="22"/>
                <w:szCs w:val="22"/>
              </w:rPr>
              <w:t>600</w:t>
            </w:r>
          </w:p>
        </w:tc>
        <w:tc>
          <w:tcPr>
            <w:tcW w:w="1330" w:type="dxa"/>
          </w:tcPr>
          <w:p w14:paraId="2EE8F0AC" w14:textId="14D966B2" w:rsidR="00446330" w:rsidRPr="00131909" w:rsidRDefault="00446330" w:rsidP="00446330">
            <w:pPr>
              <w:pStyle w:val="NoSpacing"/>
              <w:spacing w:after="60"/>
              <w:jc w:val="right"/>
              <w:rPr>
                <w:rFonts w:ascii="Arial" w:hAnsi="Arial" w:cs="Arial"/>
                <w:sz w:val="22"/>
                <w:szCs w:val="22"/>
                <w:u w:val="single"/>
              </w:rPr>
            </w:pPr>
            <w:r w:rsidRPr="00131909">
              <w:rPr>
                <w:rFonts w:ascii="Arial" w:hAnsi="Arial" w:cs="Arial"/>
                <w:sz w:val="22"/>
                <w:szCs w:val="22"/>
              </w:rPr>
              <w:t>600</w:t>
            </w:r>
          </w:p>
        </w:tc>
      </w:tr>
      <w:tr w:rsidR="00446330" w:rsidRPr="00131909" w14:paraId="6949717F" w14:textId="77777777" w:rsidTr="00446330">
        <w:tc>
          <w:tcPr>
            <w:tcW w:w="3102" w:type="dxa"/>
          </w:tcPr>
          <w:p w14:paraId="453DCF9F" w14:textId="0675D3B8"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 xml:space="preserve">Chester Road promenade route </w:t>
            </w:r>
          </w:p>
        </w:tc>
        <w:tc>
          <w:tcPr>
            <w:tcW w:w="2961" w:type="dxa"/>
          </w:tcPr>
          <w:p w14:paraId="6F52D5E2" w14:textId="60FED46B"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Warrington Council</w:t>
            </w:r>
          </w:p>
        </w:tc>
        <w:tc>
          <w:tcPr>
            <w:tcW w:w="1082" w:type="dxa"/>
          </w:tcPr>
          <w:p w14:paraId="2FB15D8B" w14:textId="42DEC1B8" w:rsidR="00446330" w:rsidRPr="00131909" w:rsidRDefault="001B761F" w:rsidP="00446330">
            <w:pPr>
              <w:pStyle w:val="NoSpacing"/>
              <w:spacing w:after="60"/>
              <w:jc w:val="right"/>
              <w:rPr>
                <w:rFonts w:ascii="Arial" w:hAnsi="Arial" w:cs="Arial"/>
                <w:sz w:val="22"/>
                <w:szCs w:val="22"/>
              </w:rPr>
            </w:pPr>
            <w:r>
              <w:rPr>
                <w:rFonts w:ascii="Arial" w:hAnsi="Arial" w:cs="Arial"/>
                <w:sz w:val="22"/>
                <w:szCs w:val="22"/>
              </w:rPr>
              <w:t>600</w:t>
            </w:r>
          </w:p>
        </w:tc>
        <w:tc>
          <w:tcPr>
            <w:tcW w:w="1330" w:type="dxa"/>
          </w:tcPr>
          <w:p w14:paraId="57E4381C" w14:textId="49968D23" w:rsidR="00446330" w:rsidRPr="00131909" w:rsidRDefault="00446330" w:rsidP="00446330">
            <w:pPr>
              <w:pStyle w:val="NoSpacing"/>
              <w:spacing w:after="60"/>
              <w:jc w:val="right"/>
              <w:rPr>
                <w:rFonts w:ascii="Arial" w:hAnsi="Arial" w:cs="Arial"/>
                <w:sz w:val="22"/>
                <w:szCs w:val="22"/>
              </w:rPr>
            </w:pPr>
            <w:r w:rsidRPr="00131909">
              <w:rPr>
                <w:rFonts w:ascii="Arial" w:hAnsi="Arial" w:cs="Arial"/>
                <w:sz w:val="22"/>
                <w:szCs w:val="22"/>
              </w:rPr>
              <w:t>600</w:t>
            </w:r>
          </w:p>
        </w:tc>
      </w:tr>
      <w:tr w:rsidR="00446330" w:rsidRPr="00131909" w14:paraId="5A0B0A75" w14:textId="77777777" w:rsidTr="00446330">
        <w:tc>
          <w:tcPr>
            <w:tcW w:w="3102" w:type="dxa"/>
          </w:tcPr>
          <w:p w14:paraId="0D35F6EB" w14:textId="7147F389" w:rsidR="00446330" w:rsidRPr="00131909" w:rsidRDefault="00446330" w:rsidP="00446330">
            <w:pPr>
              <w:pStyle w:val="NoSpacing"/>
              <w:spacing w:after="60"/>
              <w:rPr>
                <w:rFonts w:ascii="Arial" w:hAnsi="Arial" w:cs="Arial"/>
                <w:sz w:val="22"/>
                <w:szCs w:val="22"/>
                <w:u w:val="single"/>
              </w:rPr>
            </w:pPr>
            <w:proofErr w:type="spellStart"/>
            <w:r w:rsidRPr="00131909">
              <w:rPr>
                <w:rFonts w:ascii="Arial" w:hAnsi="Arial" w:cs="Arial"/>
                <w:sz w:val="22"/>
                <w:szCs w:val="22"/>
              </w:rPr>
              <w:t>Burtonwood</w:t>
            </w:r>
            <w:proofErr w:type="spellEnd"/>
            <w:r w:rsidRPr="00131909">
              <w:rPr>
                <w:rFonts w:ascii="Arial" w:hAnsi="Arial" w:cs="Arial"/>
                <w:sz w:val="22"/>
                <w:szCs w:val="22"/>
              </w:rPr>
              <w:t xml:space="preserve"> to Omega shared use path </w:t>
            </w:r>
          </w:p>
        </w:tc>
        <w:tc>
          <w:tcPr>
            <w:tcW w:w="2961" w:type="dxa"/>
          </w:tcPr>
          <w:p w14:paraId="1D560F3C" w14:textId="305BC526" w:rsidR="00446330" w:rsidRPr="00131909" w:rsidRDefault="00446330" w:rsidP="00446330">
            <w:pPr>
              <w:pStyle w:val="NoSpacing"/>
              <w:spacing w:after="60"/>
              <w:rPr>
                <w:rFonts w:ascii="Arial" w:hAnsi="Arial" w:cs="Arial"/>
                <w:sz w:val="22"/>
                <w:szCs w:val="22"/>
              </w:rPr>
            </w:pPr>
            <w:r w:rsidRPr="00131909">
              <w:rPr>
                <w:rFonts w:ascii="Arial" w:hAnsi="Arial" w:cs="Arial"/>
                <w:sz w:val="22"/>
                <w:szCs w:val="22"/>
              </w:rPr>
              <w:t>Warrington Council</w:t>
            </w:r>
          </w:p>
        </w:tc>
        <w:tc>
          <w:tcPr>
            <w:tcW w:w="1082" w:type="dxa"/>
          </w:tcPr>
          <w:p w14:paraId="3C3799DF" w14:textId="71CF9046" w:rsidR="00446330" w:rsidRPr="00131909" w:rsidRDefault="001B761F" w:rsidP="00446330">
            <w:pPr>
              <w:pStyle w:val="NoSpacing"/>
              <w:spacing w:after="60"/>
              <w:jc w:val="right"/>
              <w:rPr>
                <w:rFonts w:ascii="Arial" w:hAnsi="Arial" w:cs="Arial"/>
                <w:sz w:val="22"/>
                <w:szCs w:val="22"/>
              </w:rPr>
            </w:pPr>
            <w:r>
              <w:rPr>
                <w:rFonts w:ascii="Arial" w:hAnsi="Arial" w:cs="Arial"/>
                <w:sz w:val="22"/>
                <w:szCs w:val="22"/>
              </w:rPr>
              <w:t>500</w:t>
            </w:r>
          </w:p>
        </w:tc>
        <w:tc>
          <w:tcPr>
            <w:tcW w:w="1330" w:type="dxa"/>
          </w:tcPr>
          <w:p w14:paraId="6A4E5475" w14:textId="425E7191" w:rsidR="00446330" w:rsidRPr="00131909" w:rsidRDefault="00446330" w:rsidP="00446330">
            <w:pPr>
              <w:pStyle w:val="NoSpacing"/>
              <w:spacing w:after="60"/>
              <w:jc w:val="right"/>
              <w:rPr>
                <w:rFonts w:ascii="Arial" w:hAnsi="Arial" w:cs="Arial"/>
                <w:sz w:val="22"/>
                <w:szCs w:val="22"/>
                <w:u w:val="single"/>
              </w:rPr>
            </w:pPr>
            <w:r w:rsidRPr="00131909">
              <w:rPr>
                <w:rFonts w:ascii="Arial" w:hAnsi="Arial" w:cs="Arial"/>
                <w:sz w:val="22"/>
                <w:szCs w:val="22"/>
              </w:rPr>
              <w:t>500</w:t>
            </w:r>
          </w:p>
        </w:tc>
      </w:tr>
      <w:tr w:rsidR="00446330" w:rsidRPr="00131909" w14:paraId="3F2A5B6F" w14:textId="77777777" w:rsidTr="00446330">
        <w:tc>
          <w:tcPr>
            <w:tcW w:w="3102" w:type="dxa"/>
          </w:tcPr>
          <w:p w14:paraId="2C007C6F" w14:textId="107875CC" w:rsidR="00446330" w:rsidRPr="00131909" w:rsidRDefault="00446330" w:rsidP="00507C6D">
            <w:pPr>
              <w:pStyle w:val="NoSpacing"/>
              <w:spacing w:after="120"/>
              <w:rPr>
                <w:rFonts w:ascii="Arial" w:hAnsi="Arial" w:cs="Arial"/>
                <w:sz w:val="22"/>
                <w:szCs w:val="22"/>
                <w:u w:val="single"/>
              </w:rPr>
            </w:pPr>
            <w:r w:rsidRPr="00131909">
              <w:rPr>
                <w:rFonts w:ascii="Arial" w:hAnsi="Arial" w:cs="Arial"/>
                <w:b/>
                <w:sz w:val="22"/>
                <w:szCs w:val="22"/>
              </w:rPr>
              <w:t>Total</w:t>
            </w:r>
          </w:p>
        </w:tc>
        <w:tc>
          <w:tcPr>
            <w:tcW w:w="2961" w:type="dxa"/>
          </w:tcPr>
          <w:p w14:paraId="72C28100" w14:textId="77777777" w:rsidR="00446330" w:rsidRPr="00131909" w:rsidRDefault="00446330" w:rsidP="00507C6D">
            <w:pPr>
              <w:pStyle w:val="NoSpacing"/>
              <w:spacing w:after="120"/>
              <w:rPr>
                <w:rFonts w:ascii="Arial" w:hAnsi="Arial" w:cs="Arial"/>
                <w:b/>
                <w:sz w:val="22"/>
                <w:szCs w:val="22"/>
              </w:rPr>
            </w:pPr>
          </w:p>
        </w:tc>
        <w:tc>
          <w:tcPr>
            <w:tcW w:w="1082" w:type="dxa"/>
          </w:tcPr>
          <w:p w14:paraId="552EA0AA" w14:textId="07AEDA3F" w:rsidR="00446330" w:rsidRPr="00131909" w:rsidRDefault="00EC6DA2" w:rsidP="00507C6D">
            <w:pPr>
              <w:pStyle w:val="NoSpacing"/>
              <w:spacing w:after="120"/>
              <w:jc w:val="right"/>
              <w:rPr>
                <w:rFonts w:ascii="Arial" w:hAnsi="Arial" w:cs="Arial"/>
                <w:b/>
                <w:sz w:val="22"/>
                <w:szCs w:val="22"/>
              </w:rPr>
            </w:pPr>
            <w:r>
              <w:rPr>
                <w:rFonts w:ascii="Arial" w:hAnsi="Arial" w:cs="Arial"/>
                <w:b/>
                <w:sz w:val="22"/>
                <w:szCs w:val="22"/>
              </w:rPr>
              <w:t>7509</w:t>
            </w:r>
          </w:p>
        </w:tc>
        <w:tc>
          <w:tcPr>
            <w:tcW w:w="1330" w:type="dxa"/>
          </w:tcPr>
          <w:p w14:paraId="29B27B21" w14:textId="3C16E3D1" w:rsidR="00446330" w:rsidRPr="00131909" w:rsidRDefault="00446330" w:rsidP="00507C6D">
            <w:pPr>
              <w:pStyle w:val="NoSpacing"/>
              <w:spacing w:after="120"/>
              <w:jc w:val="right"/>
              <w:rPr>
                <w:rFonts w:ascii="Arial" w:hAnsi="Arial" w:cs="Arial"/>
                <w:sz w:val="22"/>
                <w:szCs w:val="22"/>
                <w:u w:val="single"/>
              </w:rPr>
            </w:pPr>
            <w:r w:rsidRPr="00131909">
              <w:rPr>
                <w:rFonts w:ascii="Arial" w:hAnsi="Arial" w:cs="Arial"/>
                <w:b/>
                <w:sz w:val="22"/>
                <w:szCs w:val="22"/>
              </w:rPr>
              <w:t>5000</w:t>
            </w:r>
          </w:p>
        </w:tc>
      </w:tr>
    </w:tbl>
    <w:p w14:paraId="59C343A2" w14:textId="3CF31BF0" w:rsidR="00C62BA3" w:rsidRPr="00131909" w:rsidRDefault="00FC3A4E"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ab/>
        <w:t>Recommendation</w:t>
      </w:r>
    </w:p>
    <w:p w14:paraId="56A5EBF0" w14:textId="5EF710A3" w:rsidR="00843AB2" w:rsidRPr="005C7990" w:rsidRDefault="00323BB0" w:rsidP="005C7990">
      <w:pPr>
        <w:pStyle w:val="NoSpacing"/>
        <w:numPr>
          <w:ilvl w:val="1"/>
          <w:numId w:val="33"/>
        </w:numPr>
        <w:spacing w:after="120"/>
        <w:ind w:left="709" w:hanging="709"/>
        <w:jc w:val="both"/>
        <w:rPr>
          <w:rFonts w:ascii="Arial" w:hAnsi="Arial" w:cs="Arial"/>
          <w:sz w:val="22"/>
          <w:szCs w:val="22"/>
        </w:rPr>
      </w:pPr>
      <w:r w:rsidRPr="005C7990">
        <w:rPr>
          <w:rFonts w:ascii="Arial" w:hAnsi="Arial" w:cs="Arial"/>
          <w:sz w:val="22"/>
          <w:szCs w:val="22"/>
        </w:rPr>
        <w:t>The Local Transport Bo</w:t>
      </w:r>
      <w:r w:rsidR="00FC3A4E" w:rsidRPr="005C7990">
        <w:rPr>
          <w:rFonts w:ascii="Arial" w:hAnsi="Arial" w:cs="Arial"/>
          <w:sz w:val="22"/>
          <w:szCs w:val="22"/>
        </w:rPr>
        <w:t>dy</w:t>
      </w:r>
      <w:r w:rsidRPr="005C7990">
        <w:rPr>
          <w:rFonts w:ascii="Arial" w:hAnsi="Arial" w:cs="Arial"/>
          <w:sz w:val="22"/>
          <w:szCs w:val="22"/>
        </w:rPr>
        <w:t xml:space="preserve"> </w:t>
      </w:r>
      <w:r w:rsidR="00FC3A4E" w:rsidRPr="005C7990">
        <w:rPr>
          <w:rFonts w:ascii="Arial" w:hAnsi="Arial" w:cs="Arial"/>
          <w:sz w:val="22"/>
          <w:szCs w:val="22"/>
        </w:rPr>
        <w:t>is asked to endorse the proposed distribution of the sustainable travel access fund</w:t>
      </w:r>
      <w:r w:rsidR="00AB1074">
        <w:rPr>
          <w:rFonts w:ascii="Arial" w:hAnsi="Arial" w:cs="Arial"/>
          <w:sz w:val="22"/>
          <w:szCs w:val="22"/>
        </w:rPr>
        <w:t>, subject to satisfactory business cases being developed</w:t>
      </w:r>
      <w:r w:rsidR="00DD17A3" w:rsidRPr="005C7990">
        <w:rPr>
          <w:rFonts w:ascii="Arial" w:hAnsi="Arial" w:cs="Arial"/>
          <w:sz w:val="22"/>
          <w:szCs w:val="22"/>
        </w:rPr>
        <w:t>.</w:t>
      </w:r>
      <w:r w:rsidRPr="005C7990">
        <w:rPr>
          <w:rFonts w:ascii="Arial" w:hAnsi="Arial" w:cs="Arial"/>
          <w:sz w:val="22"/>
          <w:szCs w:val="22"/>
        </w:rPr>
        <w:t xml:space="preserve"> </w:t>
      </w:r>
      <w:r w:rsidR="00843AB2" w:rsidRPr="005C7990">
        <w:rPr>
          <w:rFonts w:ascii="Arial" w:hAnsi="Arial" w:cs="Arial"/>
          <w:sz w:val="22"/>
          <w:szCs w:val="22"/>
        </w:rPr>
        <w:br w:type="page"/>
      </w:r>
    </w:p>
    <w:p w14:paraId="365945AF" w14:textId="77777777" w:rsidR="00323BB0" w:rsidRPr="00131909" w:rsidRDefault="00323BB0" w:rsidP="005C7990">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lastRenderedPageBreak/>
        <w:t>Background</w:t>
      </w:r>
    </w:p>
    <w:p w14:paraId="4F1BDF69" w14:textId="77777777" w:rsidR="00C31D46" w:rsidRPr="00131909" w:rsidRDefault="00C31D46" w:rsidP="00C31D46">
      <w:pPr>
        <w:pStyle w:val="NoSpacing"/>
        <w:numPr>
          <w:ilvl w:val="1"/>
          <w:numId w:val="33"/>
        </w:numPr>
        <w:spacing w:after="120"/>
        <w:ind w:left="709" w:hanging="709"/>
        <w:jc w:val="both"/>
        <w:rPr>
          <w:rFonts w:ascii="Arial" w:hAnsi="Arial" w:cs="Arial"/>
          <w:sz w:val="22"/>
          <w:szCs w:val="22"/>
        </w:rPr>
      </w:pPr>
      <w:r w:rsidRPr="00131909">
        <w:rPr>
          <w:rFonts w:ascii="Arial" w:hAnsi="Arial" w:cs="Arial"/>
          <w:sz w:val="22"/>
          <w:szCs w:val="22"/>
        </w:rPr>
        <w:t xml:space="preserve">The C&amp;W LEP was awarded £5 million as part of Local Growth Fund (LGF) to fund projects as part of the sub-region’s Active Travel Investment Strategy.  The Strategy for Cheshire &amp; Warrington is a package of essential transport infrastructure designed to overcome walking and cycling barriers to the key economic destinations in the Cheshire and Warrington sub region.  The package aims to deliver high outputs against a relatively low level of investment, most significantly in terms of improved access to employment, housing, training and education and provides health, congestion and environmental benefits. </w:t>
      </w:r>
    </w:p>
    <w:p w14:paraId="7B56ACB0" w14:textId="70C167C2" w:rsidR="00C31D46" w:rsidRPr="00131909" w:rsidRDefault="00C31D46" w:rsidP="00C31D46">
      <w:pPr>
        <w:pStyle w:val="NoSpacing"/>
        <w:numPr>
          <w:ilvl w:val="1"/>
          <w:numId w:val="33"/>
        </w:numPr>
        <w:spacing w:after="120"/>
        <w:ind w:left="709" w:hanging="709"/>
        <w:jc w:val="both"/>
        <w:rPr>
          <w:rFonts w:ascii="Arial" w:hAnsi="Arial" w:cs="Arial"/>
          <w:sz w:val="22"/>
          <w:szCs w:val="22"/>
        </w:rPr>
      </w:pPr>
      <w:r w:rsidRPr="00131909">
        <w:rPr>
          <w:rFonts w:ascii="Arial" w:hAnsi="Arial" w:cs="Arial"/>
          <w:sz w:val="22"/>
          <w:szCs w:val="22"/>
        </w:rPr>
        <w:t>The outcomes the Strategy is aiming to achieve, through the implementation of sustainable transport programmes ,can be quantified through economic evaluation:</w:t>
      </w:r>
    </w:p>
    <w:p w14:paraId="472BCB35" w14:textId="77777777" w:rsidR="00C31D46" w:rsidRPr="00131909" w:rsidRDefault="00C31D46" w:rsidP="001240CB">
      <w:pPr>
        <w:pStyle w:val="NoSpacing"/>
        <w:numPr>
          <w:ilvl w:val="0"/>
          <w:numId w:val="37"/>
        </w:numPr>
        <w:spacing w:after="60"/>
        <w:ind w:left="1066" w:hanging="357"/>
        <w:contextualSpacing/>
        <w:jc w:val="both"/>
        <w:rPr>
          <w:rFonts w:ascii="Arial" w:hAnsi="Arial" w:cs="Arial"/>
          <w:sz w:val="22"/>
          <w:szCs w:val="22"/>
        </w:rPr>
      </w:pPr>
      <w:r w:rsidRPr="00131909">
        <w:rPr>
          <w:rFonts w:ascii="Arial" w:hAnsi="Arial" w:cs="Arial"/>
          <w:sz w:val="22"/>
          <w:szCs w:val="22"/>
        </w:rPr>
        <w:t>Providing a reduction in car kilometres which in turn provide reductions in noise, transport emissions, congestion and accidents.</w:t>
      </w:r>
    </w:p>
    <w:p w14:paraId="761F800D" w14:textId="77777777" w:rsidR="00C31D46" w:rsidRPr="00131909" w:rsidRDefault="00C31D46" w:rsidP="001240CB">
      <w:pPr>
        <w:pStyle w:val="NoSpacing"/>
        <w:numPr>
          <w:ilvl w:val="0"/>
          <w:numId w:val="37"/>
        </w:numPr>
        <w:spacing w:after="60"/>
        <w:ind w:left="1066" w:hanging="357"/>
        <w:contextualSpacing/>
        <w:jc w:val="both"/>
        <w:rPr>
          <w:rFonts w:ascii="Arial" w:hAnsi="Arial" w:cs="Arial"/>
          <w:sz w:val="22"/>
          <w:szCs w:val="22"/>
        </w:rPr>
      </w:pPr>
      <w:r w:rsidRPr="00131909">
        <w:rPr>
          <w:rFonts w:ascii="Arial" w:hAnsi="Arial" w:cs="Arial"/>
          <w:sz w:val="22"/>
          <w:szCs w:val="22"/>
        </w:rPr>
        <w:t>Increasing physical activity which reduce mortality rates, levels of absenteeism and in turn reduce costs to the NHS.</w:t>
      </w:r>
    </w:p>
    <w:p w14:paraId="5006F7C5" w14:textId="31805DB9" w:rsidR="00EC7B49" w:rsidRPr="00131909" w:rsidRDefault="00C31D46" w:rsidP="00C31D46">
      <w:pPr>
        <w:pStyle w:val="NoSpacing"/>
        <w:numPr>
          <w:ilvl w:val="0"/>
          <w:numId w:val="37"/>
        </w:numPr>
        <w:spacing w:after="120"/>
        <w:jc w:val="both"/>
        <w:rPr>
          <w:rFonts w:ascii="Arial" w:hAnsi="Arial" w:cs="Arial"/>
          <w:sz w:val="22"/>
          <w:szCs w:val="22"/>
        </w:rPr>
      </w:pPr>
      <w:r w:rsidRPr="00131909">
        <w:rPr>
          <w:rFonts w:ascii="Arial" w:hAnsi="Arial" w:cs="Arial"/>
          <w:sz w:val="22"/>
          <w:szCs w:val="22"/>
        </w:rPr>
        <w:t>Supporting people into employment which results in increased economic activity (Gross Value Added (GVA)) and a reduction in benefits claimed.</w:t>
      </w:r>
      <w:r w:rsidR="00EC7B49" w:rsidRPr="00131909">
        <w:rPr>
          <w:rFonts w:ascii="Arial" w:hAnsi="Arial" w:cs="Arial"/>
          <w:sz w:val="22"/>
          <w:szCs w:val="22"/>
        </w:rPr>
        <w:t xml:space="preserve"> </w:t>
      </w:r>
    </w:p>
    <w:p w14:paraId="136397FB" w14:textId="1ED51F14" w:rsidR="00C31D46" w:rsidRPr="00131909" w:rsidRDefault="00FC3A4E" w:rsidP="00C31D46">
      <w:pPr>
        <w:pStyle w:val="NoSpacing"/>
        <w:numPr>
          <w:ilvl w:val="1"/>
          <w:numId w:val="33"/>
        </w:numPr>
        <w:spacing w:after="120"/>
        <w:ind w:left="709" w:hanging="709"/>
        <w:jc w:val="both"/>
        <w:rPr>
          <w:rFonts w:ascii="Arial" w:hAnsi="Arial" w:cs="Arial"/>
          <w:sz w:val="22"/>
          <w:szCs w:val="22"/>
        </w:rPr>
      </w:pPr>
      <w:r w:rsidRPr="00131909">
        <w:rPr>
          <w:rFonts w:ascii="Arial" w:hAnsi="Arial" w:cs="Arial"/>
          <w:sz w:val="22"/>
          <w:szCs w:val="22"/>
        </w:rPr>
        <w:t xml:space="preserve">The C&amp;W LEP </w:t>
      </w:r>
      <w:r w:rsidR="00C31D46" w:rsidRPr="00131909">
        <w:rPr>
          <w:rFonts w:ascii="Arial" w:hAnsi="Arial" w:cs="Arial"/>
          <w:sz w:val="22"/>
          <w:szCs w:val="22"/>
        </w:rPr>
        <w:t>invited the three local authorities to submit bids for funding in line with the intentions set out in the original bid with a particular interest in bids for projects that:</w:t>
      </w:r>
    </w:p>
    <w:p w14:paraId="6ECA3B9E" w14:textId="77777777" w:rsidR="00C31D46" w:rsidRPr="00131909" w:rsidRDefault="00C31D46" w:rsidP="001240CB">
      <w:pPr>
        <w:pStyle w:val="NoSpacing"/>
        <w:numPr>
          <w:ilvl w:val="0"/>
          <w:numId w:val="37"/>
        </w:numPr>
        <w:spacing w:after="60"/>
        <w:ind w:left="1066" w:hanging="357"/>
        <w:jc w:val="both"/>
        <w:rPr>
          <w:rFonts w:ascii="Arial" w:hAnsi="Arial" w:cs="Arial"/>
          <w:sz w:val="22"/>
          <w:szCs w:val="22"/>
        </w:rPr>
      </w:pPr>
      <w:r w:rsidRPr="00131909">
        <w:rPr>
          <w:rFonts w:ascii="Arial" w:hAnsi="Arial" w:cs="Arial"/>
          <w:sz w:val="22"/>
          <w:szCs w:val="22"/>
        </w:rPr>
        <w:t>are strategic;</w:t>
      </w:r>
    </w:p>
    <w:p w14:paraId="5F5E0885" w14:textId="77777777" w:rsidR="00C31D46" w:rsidRPr="00131909" w:rsidRDefault="00C31D46" w:rsidP="001240CB">
      <w:pPr>
        <w:pStyle w:val="NoSpacing"/>
        <w:numPr>
          <w:ilvl w:val="0"/>
          <w:numId w:val="37"/>
        </w:numPr>
        <w:spacing w:after="60"/>
        <w:ind w:left="1066" w:hanging="357"/>
        <w:jc w:val="both"/>
        <w:rPr>
          <w:rFonts w:ascii="Arial" w:hAnsi="Arial" w:cs="Arial"/>
          <w:sz w:val="22"/>
          <w:szCs w:val="22"/>
        </w:rPr>
      </w:pPr>
      <w:r w:rsidRPr="00131909">
        <w:rPr>
          <w:rFonts w:ascii="Arial" w:hAnsi="Arial" w:cs="Arial"/>
          <w:sz w:val="22"/>
          <w:szCs w:val="22"/>
        </w:rPr>
        <w:t xml:space="preserve">are </w:t>
      </w:r>
      <w:proofErr w:type="spellStart"/>
      <w:r w:rsidRPr="00131909">
        <w:rPr>
          <w:rFonts w:ascii="Arial" w:hAnsi="Arial" w:cs="Arial"/>
          <w:sz w:val="22"/>
          <w:szCs w:val="22"/>
        </w:rPr>
        <w:t>scaleable</w:t>
      </w:r>
      <w:proofErr w:type="spellEnd"/>
      <w:r w:rsidRPr="00131909">
        <w:rPr>
          <w:rFonts w:ascii="Arial" w:hAnsi="Arial" w:cs="Arial"/>
          <w:sz w:val="22"/>
          <w:szCs w:val="22"/>
        </w:rPr>
        <w:t>;</w:t>
      </w:r>
    </w:p>
    <w:p w14:paraId="3579B45A" w14:textId="77777777" w:rsidR="00C31D46" w:rsidRPr="00131909" w:rsidRDefault="00C31D46" w:rsidP="001240CB">
      <w:pPr>
        <w:pStyle w:val="NoSpacing"/>
        <w:numPr>
          <w:ilvl w:val="0"/>
          <w:numId w:val="37"/>
        </w:numPr>
        <w:spacing w:after="60"/>
        <w:ind w:left="1066" w:hanging="357"/>
        <w:jc w:val="both"/>
        <w:rPr>
          <w:rFonts w:ascii="Arial" w:hAnsi="Arial" w:cs="Arial"/>
          <w:sz w:val="22"/>
          <w:szCs w:val="22"/>
        </w:rPr>
      </w:pPr>
      <w:r w:rsidRPr="00131909">
        <w:rPr>
          <w:rFonts w:ascii="Arial" w:hAnsi="Arial" w:cs="Arial"/>
          <w:sz w:val="22"/>
          <w:szCs w:val="22"/>
        </w:rPr>
        <w:t>link to other schemes and initiatives (e.g. The Enterprise Zone);</w:t>
      </w:r>
    </w:p>
    <w:p w14:paraId="1908B8F7" w14:textId="77777777" w:rsidR="00C31D46" w:rsidRPr="00131909" w:rsidRDefault="00C31D46" w:rsidP="001240CB">
      <w:pPr>
        <w:pStyle w:val="NoSpacing"/>
        <w:numPr>
          <w:ilvl w:val="0"/>
          <w:numId w:val="37"/>
        </w:numPr>
        <w:spacing w:after="60"/>
        <w:ind w:left="1066" w:hanging="357"/>
        <w:jc w:val="both"/>
        <w:rPr>
          <w:rFonts w:ascii="Arial" w:hAnsi="Arial" w:cs="Arial"/>
          <w:sz w:val="22"/>
          <w:szCs w:val="22"/>
        </w:rPr>
      </w:pPr>
      <w:r w:rsidRPr="00131909">
        <w:rPr>
          <w:rFonts w:ascii="Arial" w:hAnsi="Arial" w:cs="Arial"/>
          <w:sz w:val="22"/>
          <w:szCs w:val="22"/>
        </w:rPr>
        <w:t>help to reduce congestion;</w:t>
      </w:r>
    </w:p>
    <w:p w14:paraId="7EAC8E27" w14:textId="77777777" w:rsidR="00C31D46" w:rsidRPr="00131909" w:rsidRDefault="00C31D46" w:rsidP="001240CB">
      <w:pPr>
        <w:pStyle w:val="NoSpacing"/>
        <w:numPr>
          <w:ilvl w:val="0"/>
          <w:numId w:val="37"/>
        </w:numPr>
        <w:spacing w:after="60"/>
        <w:ind w:left="1066" w:hanging="357"/>
        <w:jc w:val="both"/>
        <w:rPr>
          <w:rFonts w:ascii="Arial" w:hAnsi="Arial" w:cs="Arial"/>
          <w:sz w:val="22"/>
          <w:szCs w:val="22"/>
        </w:rPr>
      </w:pPr>
      <w:r w:rsidRPr="00131909">
        <w:rPr>
          <w:rFonts w:ascii="Arial" w:hAnsi="Arial" w:cs="Arial"/>
          <w:sz w:val="22"/>
          <w:szCs w:val="22"/>
        </w:rPr>
        <w:t>improve links to employment sites and residential areas;</w:t>
      </w:r>
    </w:p>
    <w:p w14:paraId="3CD677BD" w14:textId="77777777" w:rsidR="00C31D46" w:rsidRPr="00131909" w:rsidRDefault="00C31D46" w:rsidP="001240CB">
      <w:pPr>
        <w:pStyle w:val="NoSpacing"/>
        <w:numPr>
          <w:ilvl w:val="0"/>
          <w:numId w:val="37"/>
        </w:numPr>
        <w:spacing w:after="60"/>
        <w:ind w:left="1066" w:hanging="357"/>
        <w:jc w:val="both"/>
        <w:rPr>
          <w:rFonts w:ascii="Arial" w:hAnsi="Arial" w:cs="Arial"/>
          <w:sz w:val="22"/>
          <w:szCs w:val="22"/>
        </w:rPr>
      </w:pPr>
      <w:r w:rsidRPr="00131909">
        <w:rPr>
          <w:rFonts w:ascii="Arial" w:hAnsi="Arial" w:cs="Arial"/>
          <w:sz w:val="22"/>
          <w:szCs w:val="22"/>
        </w:rPr>
        <w:t>increase physical activity;</w:t>
      </w:r>
    </w:p>
    <w:p w14:paraId="0ABC5405" w14:textId="77777777" w:rsidR="00C31D46" w:rsidRPr="00131909" w:rsidRDefault="00C31D46" w:rsidP="001240CB">
      <w:pPr>
        <w:pStyle w:val="NoSpacing"/>
        <w:numPr>
          <w:ilvl w:val="0"/>
          <w:numId w:val="37"/>
        </w:numPr>
        <w:spacing w:after="60"/>
        <w:ind w:left="1066" w:hanging="357"/>
        <w:jc w:val="both"/>
        <w:rPr>
          <w:rFonts w:ascii="Arial" w:hAnsi="Arial" w:cs="Arial"/>
          <w:sz w:val="22"/>
          <w:szCs w:val="22"/>
        </w:rPr>
      </w:pPr>
      <w:r w:rsidRPr="00131909">
        <w:rPr>
          <w:rFonts w:ascii="Arial" w:hAnsi="Arial" w:cs="Arial"/>
          <w:sz w:val="22"/>
          <w:szCs w:val="22"/>
        </w:rPr>
        <w:t>support people into employment; and</w:t>
      </w:r>
    </w:p>
    <w:p w14:paraId="75F00CCB" w14:textId="77777777" w:rsidR="00C31D46" w:rsidRPr="00131909" w:rsidRDefault="00C31D46" w:rsidP="00C31D46">
      <w:pPr>
        <w:pStyle w:val="NoSpacing"/>
        <w:numPr>
          <w:ilvl w:val="0"/>
          <w:numId w:val="37"/>
        </w:numPr>
        <w:spacing w:after="120"/>
        <w:jc w:val="both"/>
        <w:rPr>
          <w:rFonts w:ascii="Arial" w:hAnsi="Arial" w:cs="Arial"/>
          <w:sz w:val="22"/>
          <w:szCs w:val="22"/>
        </w:rPr>
      </w:pPr>
      <w:proofErr w:type="gramStart"/>
      <w:r w:rsidRPr="00131909">
        <w:rPr>
          <w:rFonts w:ascii="Arial" w:hAnsi="Arial" w:cs="Arial"/>
          <w:sz w:val="22"/>
          <w:szCs w:val="22"/>
        </w:rPr>
        <w:t>help</w:t>
      </w:r>
      <w:proofErr w:type="gramEnd"/>
      <w:r w:rsidRPr="00131909">
        <w:rPr>
          <w:rFonts w:ascii="Arial" w:hAnsi="Arial" w:cs="Arial"/>
          <w:sz w:val="22"/>
          <w:szCs w:val="22"/>
        </w:rPr>
        <w:t xml:space="preserve"> to reduce pollution.</w:t>
      </w:r>
    </w:p>
    <w:p w14:paraId="365C2E56" w14:textId="3810AAC8" w:rsidR="007556FC" w:rsidRPr="00131909" w:rsidRDefault="00C31D46" w:rsidP="00C31D46">
      <w:pPr>
        <w:pStyle w:val="NoSpacing"/>
        <w:numPr>
          <w:ilvl w:val="1"/>
          <w:numId w:val="33"/>
        </w:numPr>
        <w:spacing w:after="120"/>
        <w:ind w:left="709" w:hanging="709"/>
        <w:jc w:val="both"/>
        <w:rPr>
          <w:rFonts w:ascii="Arial" w:hAnsi="Arial" w:cs="Arial"/>
          <w:sz w:val="22"/>
          <w:szCs w:val="22"/>
        </w:rPr>
      </w:pPr>
      <w:r w:rsidRPr="00131909">
        <w:rPr>
          <w:rFonts w:ascii="Arial" w:hAnsi="Arial" w:cs="Arial"/>
          <w:sz w:val="22"/>
          <w:szCs w:val="22"/>
        </w:rPr>
        <w:t>It was</w:t>
      </w:r>
      <w:r w:rsidR="00881E90" w:rsidRPr="00131909">
        <w:rPr>
          <w:rFonts w:ascii="Arial" w:hAnsi="Arial" w:cs="Arial"/>
          <w:sz w:val="22"/>
          <w:szCs w:val="22"/>
        </w:rPr>
        <w:t xml:space="preserve"> also</w:t>
      </w:r>
      <w:r w:rsidRPr="00131909">
        <w:rPr>
          <w:rFonts w:ascii="Arial" w:hAnsi="Arial" w:cs="Arial"/>
          <w:sz w:val="22"/>
          <w:szCs w:val="22"/>
        </w:rPr>
        <w:t xml:space="preserve"> important that projects fit</w:t>
      </w:r>
      <w:r w:rsidR="00881E90" w:rsidRPr="00131909">
        <w:rPr>
          <w:rFonts w:ascii="Arial" w:hAnsi="Arial" w:cs="Arial"/>
          <w:sz w:val="22"/>
          <w:szCs w:val="22"/>
        </w:rPr>
        <w:t>ted</w:t>
      </w:r>
      <w:r w:rsidRPr="00131909">
        <w:rPr>
          <w:rFonts w:ascii="Arial" w:hAnsi="Arial" w:cs="Arial"/>
          <w:sz w:val="22"/>
          <w:szCs w:val="22"/>
        </w:rPr>
        <w:t xml:space="preserve"> with the priories of the Strategic Economic Plan </w:t>
      </w:r>
      <w:r w:rsidR="00881E90" w:rsidRPr="00131909">
        <w:rPr>
          <w:rFonts w:ascii="Arial" w:hAnsi="Arial" w:cs="Arial"/>
          <w:sz w:val="22"/>
          <w:szCs w:val="22"/>
        </w:rPr>
        <w:t xml:space="preserve">and ideally provided </w:t>
      </w:r>
      <w:r w:rsidRPr="00131909">
        <w:rPr>
          <w:rFonts w:ascii="Arial" w:hAnsi="Arial" w:cs="Arial"/>
          <w:sz w:val="22"/>
          <w:szCs w:val="22"/>
        </w:rPr>
        <w:t>a balance of schemes across the sub-region.</w:t>
      </w:r>
    </w:p>
    <w:p w14:paraId="6B9E5591" w14:textId="64385A19" w:rsidR="00957660" w:rsidRPr="00131909" w:rsidRDefault="00C31D46"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Submitted Schemes</w:t>
      </w:r>
    </w:p>
    <w:p w14:paraId="34457DC2" w14:textId="2CE1ACED" w:rsidR="00FC3A4E" w:rsidRPr="00131909" w:rsidRDefault="00FC3A4E" w:rsidP="00FC3A4E">
      <w:pPr>
        <w:pStyle w:val="NoSpacing"/>
        <w:numPr>
          <w:ilvl w:val="1"/>
          <w:numId w:val="33"/>
        </w:numPr>
        <w:spacing w:after="120"/>
        <w:ind w:left="709" w:hanging="709"/>
        <w:jc w:val="both"/>
        <w:rPr>
          <w:rFonts w:ascii="Arial" w:hAnsi="Arial" w:cs="Arial"/>
          <w:sz w:val="22"/>
          <w:szCs w:val="22"/>
        </w:rPr>
      </w:pPr>
      <w:r w:rsidRPr="00131909">
        <w:rPr>
          <w:rFonts w:ascii="Arial" w:hAnsi="Arial" w:cs="Arial"/>
          <w:sz w:val="22"/>
          <w:szCs w:val="22"/>
        </w:rPr>
        <w:t>Bids for funding were received for the following schemes:</w:t>
      </w:r>
    </w:p>
    <w:p w14:paraId="5840D72F" w14:textId="07884910" w:rsidR="00131909" w:rsidRDefault="000D1942" w:rsidP="000D1942">
      <w:pPr>
        <w:pStyle w:val="NoSpacing"/>
        <w:spacing w:before="240" w:after="240"/>
        <w:ind w:left="709"/>
        <w:jc w:val="both"/>
        <w:rPr>
          <w:rFonts w:ascii="Arial" w:hAnsi="Arial" w:cs="Arial"/>
          <w:sz w:val="22"/>
          <w:szCs w:val="22"/>
        </w:rPr>
      </w:pPr>
      <w:r w:rsidRPr="000D1942">
        <w:rPr>
          <w:rFonts w:ascii="Arial" w:hAnsi="Arial" w:cs="Arial"/>
          <w:b/>
          <w:sz w:val="22"/>
          <w:szCs w:val="22"/>
        </w:rPr>
        <w:t>Wilmslow St</w:t>
      </w:r>
      <w:r>
        <w:rPr>
          <w:rFonts w:ascii="Arial" w:hAnsi="Arial" w:cs="Arial"/>
          <w:b/>
          <w:sz w:val="22"/>
          <w:szCs w:val="22"/>
        </w:rPr>
        <w:t xml:space="preserve">rategic Cycle and Walking Route – </w:t>
      </w:r>
      <w:r w:rsidRPr="000D1942">
        <w:rPr>
          <w:rFonts w:ascii="Arial" w:hAnsi="Arial" w:cs="Arial"/>
          <w:sz w:val="22"/>
          <w:szCs w:val="22"/>
        </w:rPr>
        <w:t xml:space="preserve">The project </w:t>
      </w:r>
      <w:r>
        <w:rPr>
          <w:rFonts w:ascii="Arial" w:hAnsi="Arial" w:cs="Arial"/>
          <w:sz w:val="22"/>
          <w:szCs w:val="22"/>
        </w:rPr>
        <w:t>would</w:t>
      </w:r>
      <w:r w:rsidRPr="000D1942">
        <w:rPr>
          <w:rFonts w:ascii="Arial" w:hAnsi="Arial" w:cs="Arial"/>
          <w:sz w:val="22"/>
          <w:szCs w:val="22"/>
        </w:rPr>
        <w:t xml:space="preserve"> deliver a high quality strategic cycling and walking link through Wilmslow which fills key existing gaps. This will create a coherent route connecting key economic development sites in the Cheshire East Science Corridor, improving access to a key Local Plan site to support delivery of 1500 new jobs and improving access to the Manchester Airport Enterprise Zone (complementing SEMMMS A6 Manchester Airport Relief Road).</w:t>
      </w:r>
      <w:r>
        <w:rPr>
          <w:rFonts w:ascii="Arial" w:hAnsi="Arial" w:cs="Arial"/>
          <w:sz w:val="22"/>
          <w:szCs w:val="22"/>
        </w:rPr>
        <w:t xml:space="preserve"> The project will entail: u</w:t>
      </w:r>
      <w:r w:rsidRPr="000D1942">
        <w:rPr>
          <w:rFonts w:ascii="Arial" w:hAnsi="Arial" w:cs="Arial"/>
          <w:sz w:val="22"/>
          <w:szCs w:val="22"/>
        </w:rPr>
        <w:t>pgrading pedestrian / cycle links between Wilmslow station and Royal London site to address access barriers and support delivery of 1500 new jobs;</w:t>
      </w:r>
      <w:r>
        <w:rPr>
          <w:rFonts w:ascii="Arial" w:hAnsi="Arial" w:cs="Arial"/>
          <w:sz w:val="22"/>
          <w:szCs w:val="22"/>
        </w:rPr>
        <w:t xml:space="preserve"> f</w:t>
      </w:r>
      <w:r w:rsidRPr="000D1942">
        <w:rPr>
          <w:rFonts w:ascii="Arial" w:hAnsi="Arial" w:cs="Arial"/>
          <w:sz w:val="22"/>
          <w:szCs w:val="22"/>
        </w:rPr>
        <w:t>illing key gaps and provision of an off road route along the A538 corridor between Wilmslow and key employment sites including Waters and the Manchester Airport Enterprise Zone;</w:t>
      </w:r>
      <w:r>
        <w:rPr>
          <w:rFonts w:ascii="Arial" w:hAnsi="Arial" w:cs="Arial"/>
          <w:sz w:val="22"/>
          <w:szCs w:val="22"/>
        </w:rPr>
        <w:t xml:space="preserve"> and p</w:t>
      </w:r>
      <w:r w:rsidRPr="000D1942">
        <w:rPr>
          <w:rFonts w:ascii="Arial" w:hAnsi="Arial" w:cs="Arial"/>
          <w:sz w:val="22"/>
          <w:szCs w:val="22"/>
        </w:rPr>
        <w:t xml:space="preserve">roviding an improved direct route from key residential areas west of Wilmslow to key employment locations including </w:t>
      </w:r>
      <w:proofErr w:type="spellStart"/>
      <w:r w:rsidRPr="000D1942">
        <w:rPr>
          <w:rFonts w:ascii="Arial" w:hAnsi="Arial" w:cs="Arial"/>
          <w:sz w:val="22"/>
          <w:szCs w:val="22"/>
        </w:rPr>
        <w:t>Alderley</w:t>
      </w:r>
      <w:proofErr w:type="spellEnd"/>
      <w:r w:rsidRPr="000D1942">
        <w:rPr>
          <w:rFonts w:ascii="Arial" w:hAnsi="Arial" w:cs="Arial"/>
          <w:sz w:val="22"/>
          <w:szCs w:val="22"/>
        </w:rPr>
        <w:t xml:space="preserve"> Park, Waters and Manchester Airport Enterprise Zone.</w:t>
      </w:r>
    </w:p>
    <w:p w14:paraId="5F343E7B" w14:textId="046712A5" w:rsidR="000D1942" w:rsidRDefault="000D1942" w:rsidP="000D1942">
      <w:pPr>
        <w:pStyle w:val="NoSpacing"/>
        <w:spacing w:before="240" w:after="240"/>
        <w:ind w:left="709"/>
        <w:jc w:val="both"/>
        <w:rPr>
          <w:rFonts w:ascii="Arial" w:hAnsi="Arial" w:cs="Arial"/>
          <w:b/>
          <w:sz w:val="22"/>
          <w:szCs w:val="22"/>
        </w:rPr>
      </w:pPr>
      <w:r w:rsidRPr="000D1942">
        <w:rPr>
          <w:rFonts w:ascii="Arial" w:hAnsi="Arial" w:cs="Arial"/>
          <w:b/>
          <w:sz w:val="22"/>
          <w:szCs w:val="22"/>
        </w:rPr>
        <w:t>Northwest Crewe Cycling a</w:t>
      </w:r>
      <w:r>
        <w:rPr>
          <w:rFonts w:ascii="Arial" w:hAnsi="Arial" w:cs="Arial"/>
          <w:b/>
          <w:sz w:val="22"/>
          <w:szCs w:val="22"/>
        </w:rPr>
        <w:t xml:space="preserve">nd Walking Link – </w:t>
      </w:r>
      <w:r w:rsidRPr="000D1942">
        <w:rPr>
          <w:rFonts w:ascii="Arial" w:hAnsi="Arial" w:cs="Arial"/>
          <w:sz w:val="22"/>
          <w:szCs w:val="22"/>
        </w:rPr>
        <w:t xml:space="preserve">This project would deliver a strategic cycling and walking link into the heart of the North West Crewe development area </w:t>
      </w:r>
      <w:r w:rsidRPr="000D1942">
        <w:rPr>
          <w:rFonts w:ascii="Arial" w:hAnsi="Arial" w:cs="Arial"/>
          <w:sz w:val="22"/>
          <w:szCs w:val="22"/>
        </w:rPr>
        <w:lastRenderedPageBreak/>
        <w:t>providing connectivity from Crewe and Nantwich to: 1600 new jobs and 1750 new dwellings; the Bentley strategic employment site (currently employs 4500 staff); Leighton Hospital and other existing residential areas.</w:t>
      </w:r>
      <w:r>
        <w:rPr>
          <w:rFonts w:ascii="Arial" w:hAnsi="Arial" w:cs="Arial"/>
          <w:sz w:val="22"/>
          <w:szCs w:val="22"/>
        </w:rPr>
        <w:t xml:space="preserve"> </w:t>
      </w:r>
      <w:r w:rsidRPr="000D1942">
        <w:rPr>
          <w:rFonts w:ascii="Arial" w:hAnsi="Arial" w:cs="Arial"/>
          <w:sz w:val="22"/>
          <w:szCs w:val="22"/>
        </w:rPr>
        <w:t>Th</w:t>
      </w:r>
      <w:r>
        <w:rPr>
          <w:rFonts w:ascii="Arial" w:hAnsi="Arial" w:cs="Arial"/>
          <w:sz w:val="22"/>
          <w:szCs w:val="22"/>
        </w:rPr>
        <w:t>e</w:t>
      </w:r>
      <w:r w:rsidRPr="000D1942">
        <w:rPr>
          <w:rFonts w:ascii="Arial" w:hAnsi="Arial" w:cs="Arial"/>
          <w:sz w:val="22"/>
          <w:szCs w:val="22"/>
        </w:rPr>
        <w:t xml:space="preserve"> project entails extending the high quality Connect 2 pedestrian / cycle shared path from the A530/A532 roundabout northwards along the A530. Network Rail is widening the </w:t>
      </w:r>
      <w:proofErr w:type="spellStart"/>
      <w:r w:rsidRPr="000D1942">
        <w:rPr>
          <w:rFonts w:ascii="Arial" w:hAnsi="Arial" w:cs="Arial"/>
          <w:sz w:val="22"/>
          <w:szCs w:val="22"/>
        </w:rPr>
        <w:t>Boulderstones</w:t>
      </w:r>
      <w:proofErr w:type="spellEnd"/>
      <w:r w:rsidRPr="000D1942">
        <w:rPr>
          <w:rFonts w:ascii="Arial" w:hAnsi="Arial" w:cs="Arial"/>
          <w:sz w:val="22"/>
          <w:szCs w:val="22"/>
        </w:rPr>
        <w:t xml:space="preserve"> Bridge on the A530 and this project capitalises on the opportunity created by widening of this bridge. The route then links into the Bentley employment site and runs parallel to the alignment of the Leighton Spine Road and Link Road. The route ends by linking into Leighton Hospital and providing key routes into existing residen</w:t>
      </w:r>
      <w:r>
        <w:rPr>
          <w:rFonts w:ascii="Arial" w:hAnsi="Arial" w:cs="Arial"/>
          <w:sz w:val="22"/>
          <w:szCs w:val="22"/>
        </w:rPr>
        <w:t>tial areas in North West Crewe.</w:t>
      </w:r>
      <w:r w:rsidRPr="000D1942">
        <w:rPr>
          <w:rFonts w:ascii="Arial" w:hAnsi="Arial" w:cs="Arial"/>
          <w:sz w:val="22"/>
          <w:szCs w:val="22"/>
        </w:rPr>
        <w:tab/>
      </w:r>
      <w:r w:rsidRPr="000D1942">
        <w:rPr>
          <w:rFonts w:ascii="Arial" w:hAnsi="Arial" w:cs="Arial"/>
          <w:b/>
          <w:sz w:val="22"/>
          <w:szCs w:val="22"/>
        </w:rPr>
        <w:tab/>
      </w:r>
    </w:p>
    <w:p w14:paraId="171E43B1" w14:textId="3D66DF13" w:rsidR="00462C1B" w:rsidRPr="00131909" w:rsidRDefault="00462C1B" w:rsidP="000D1942">
      <w:pPr>
        <w:pStyle w:val="NoSpacing"/>
        <w:spacing w:before="240" w:after="240"/>
        <w:ind w:left="709"/>
        <w:jc w:val="both"/>
        <w:rPr>
          <w:rFonts w:ascii="Arial" w:hAnsi="Arial" w:cs="Arial"/>
          <w:sz w:val="22"/>
          <w:szCs w:val="22"/>
        </w:rPr>
      </w:pPr>
      <w:r w:rsidRPr="00131909">
        <w:rPr>
          <w:rFonts w:ascii="Arial" w:hAnsi="Arial" w:cs="Arial"/>
          <w:b/>
          <w:sz w:val="22"/>
          <w:szCs w:val="22"/>
        </w:rPr>
        <w:t xml:space="preserve">A5117 Cycle Route, Ellesmere Port - </w:t>
      </w:r>
      <w:r w:rsidRPr="00131909">
        <w:rPr>
          <w:rFonts w:ascii="Arial" w:hAnsi="Arial" w:cs="Arial"/>
          <w:sz w:val="22"/>
          <w:szCs w:val="22"/>
        </w:rPr>
        <w:t xml:space="preserve">The A5117 cycle route (National cycle route 5) is a 4.5 km cycleway that links Ellesmere Port and Chester (via the existing canal towpath at Cheshire Oaks) with the University of Chester’s Thornton Science Park campus, Essar </w:t>
      </w:r>
      <w:proofErr w:type="spellStart"/>
      <w:r w:rsidRPr="00131909">
        <w:rPr>
          <w:rFonts w:ascii="Arial" w:hAnsi="Arial" w:cs="Arial"/>
          <w:sz w:val="22"/>
          <w:szCs w:val="22"/>
        </w:rPr>
        <w:t>Stanlow</w:t>
      </w:r>
      <w:proofErr w:type="spellEnd"/>
      <w:r w:rsidRPr="00131909">
        <w:rPr>
          <w:rFonts w:ascii="Arial" w:hAnsi="Arial" w:cs="Arial"/>
          <w:sz w:val="22"/>
          <w:szCs w:val="22"/>
        </w:rPr>
        <w:t xml:space="preserve"> Oil Refinery, </w:t>
      </w:r>
      <w:proofErr w:type="spellStart"/>
      <w:r w:rsidRPr="00131909">
        <w:rPr>
          <w:rFonts w:ascii="Arial" w:hAnsi="Arial" w:cs="Arial"/>
          <w:sz w:val="22"/>
          <w:szCs w:val="22"/>
        </w:rPr>
        <w:t>Encirc</w:t>
      </w:r>
      <w:proofErr w:type="spellEnd"/>
      <w:r w:rsidRPr="00131909">
        <w:rPr>
          <w:rFonts w:ascii="Arial" w:hAnsi="Arial" w:cs="Arial"/>
          <w:sz w:val="22"/>
          <w:szCs w:val="22"/>
        </w:rPr>
        <w:t xml:space="preserve"> and new strategic Portus cluster employment site encompassing energy intensive industries. The scheme was originally proposed as a Local Sustainable Transport Fund (LSTF2) extension scheme, unfortunately the scheme was not previously progressed due to a failure to secure the necessary capital funding from previous funding bids. The scheme is now considered essential to provide and improve sustainable access to this campus and research facility, and wider businesses. </w:t>
      </w:r>
      <w:proofErr w:type="spellStart"/>
      <w:r w:rsidRPr="00131909">
        <w:rPr>
          <w:rFonts w:ascii="Arial" w:hAnsi="Arial" w:cs="Arial"/>
          <w:sz w:val="22"/>
          <w:szCs w:val="22"/>
        </w:rPr>
        <w:t>CWaC</w:t>
      </w:r>
      <w:proofErr w:type="spellEnd"/>
      <w:r w:rsidRPr="00131909">
        <w:rPr>
          <w:rFonts w:ascii="Arial" w:hAnsi="Arial" w:cs="Arial"/>
          <w:sz w:val="22"/>
          <w:szCs w:val="22"/>
        </w:rPr>
        <w:t xml:space="preserve"> is also leading on taking forward demand assessments to introduce a regular passenger rail service between </w:t>
      </w:r>
      <w:proofErr w:type="spellStart"/>
      <w:r w:rsidRPr="00131909">
        <w:rPr>
          <w:rFonts w:ascii="Arial" w:hAnsi="Arial" w:cs="Arial"/>
          <w:sz w:val="22"/>
          <w:szCs w:val="22"/>
        </w:rPr>
        <w:t>Helsby</w:t>
      </w:r>
      <w:proofErr w:type="spellEnd"/>
      <w:r w:rsidRPr="00131909">
        <w:rPr>
          <w:rFonts w:ascii="Arial" w:hAnsi="Arial" w:cs="Arial"/>
          <w:sz w:val="22"/>
          <w:szCs w:val="22"/>
        </w:rPr>
        <w:t xml:space="preserve"> and Hooton, including the potential for new stations at New Bridge Road and Thornton Science Park. The cycle route significantly increases the catchment areas and demand for this service, enhancing the business case. Highways England through their designated funds programme are considering cycle and pedestrian improvements at </w:t>
      </w:r>
      <w:r w:rsidR="001240CB">
        <w:rPr>
          <w:rFonts w:ascii="Arial" w:hAnsi="Arial" w:cs="Arial"/>
          <w:sz w:val="22"/>
          <w:szCs w:val="22"/>
        </w:rPr>
        <w:t xml:space="preserve">M56 </w:t>
      </w:r>
      <w:r w:rsidRPr="00131909">
        <w:rPr>
          <w:rFonts w:ascii="Arial" w:hAnsi="Arial" w:cs="Arial"/>
          <w:sz w:val="22"/>
          <w:szCs w:val="22"/>
        </w:rPr>
        <w:t>junction 14</w:t>
      </w:r>
      <w:r w:rsidR="001240CB">
        <w:rPr>
          <w:rFonts w:ascii="Arial" w:hAnsi="Arial" w:cs="Arial"/>
          <w:sz w:val="22"/>
          <w:szCs w:val="22"/>
        </w:rPr>
        <w:t>,</w:t>
      </w:r>
      <w:r w:rsidRPr="00131909">
        <w:rPr>
          <w:rFonts w:ascii="Arial" w:hAnsi="Arial" w:cs="Arial"/>
          <w:sz w:val="22"/>
          <w:szCs w:val="22"/>
        </w:rPr>
        <w:t xml:space="preserve"> subject to this scheme being approved. This could provide a continuous route from </w:t>
      </w:r>
      <w:proofErr w:type="spellStart"/>
      <w:r w:rsidRPr="00131909">
        <w:rPr>
          <w:rFonts w:ascii="Arial" w:hAnsi="Arial" w:cs="Arial"/>
          <w:sz w:val="22"/>
          <w:szCs w:val="22"/>
        </w:rPr>
        <w:t>Frodsham</w:t>
      </w:r>
      <w:proofErr w:type="spellEnd"/>
      <w:r w:rsidRPr="00131909">
        <w:rPr>
          <w:rFonts w:ascii="Arial" w:hAnsi="Arial" w:cs="Arial"/>
          <w:sz w:val="22"/>
          <w:szCs w:val="22"/>
        </w:rPr>
        <w:t xml:space="preserve"> </w:t>
      </w:r>
      <w:r w:rsidR="001240CB">
        <w:rPr>
          <w:rFonts w:ascii="Arial" w:hAnsi="Arial" w:cs="Arial"/>
          <w:sz w:val="22"/>
          <w:szCs w:val="22"/>
        </w:rPr>
        <w:t>&amp;</w:t>
      </w:r>
      <w:r w:rsidRPr="00131909">
        <w:rPr>
          <w:rFonts w:ascii="Arial" w:hAnsi="Arial" w:cs="Arial"/>
          <w:sz w:val="22"/>
          <w:szCs w:val="22"/>
        </w:rPr>
        <w:t xml:space="preserve"> </w:t>
      </w:r>
      <w:proofErr w:type="spellStart"/>
      <w:r w:rsidRPr="00131909">
        <w:rPr>
          <w:rFonts w:ascii="Arial" w:hAnsi="Arial" w:cs="Arial"/>
          <w:sz w:val="22"/>
          <w:szCs w:val="22"/>
        </w:rPr>
        <w:t>Helsby</w:t>
      </w:r>
      <w:proofErr w:type="spellEnd"/>
      <w:r w:rsidRPr="00131909">
        <w:rPr>
          <w:rFonts w:ascii="Arial" w:hAnsi="Arial" w:cs="Arial"/>
          <w:sz w:val="22"/>
          <w:szCs w:val="22"/>
        </w:rPr>
        <w:t xml:space="preserve"> to Ellesmere Port </w:t>
      </w:r>
      <w:r w:rsidR="001240CB">
        <w:rPr>
          <w:rFonts w:ascii="Arial" w:hAnsi="Arial" w:cs="Arial"/>
          <w:sz w:val="22"/>
          <w:szCs w:val="22"/>
        </w:rPr>
        <w:t>&amp;</w:t>
      </w:r>
      <w:r w:rsidRPr="00131909">
        <w:rPr>
          <w:rFonts w:ascii="Arial" w:hAnsi="Arial" w:cs="Arial"/>
          <w:sz w:val="22"/>
          <w:szCs w:val="22"/>
        </w:rPr>
        <w:t xml:space="preserve"> Chester</w:t>
      </w:r>
    </w:p>
    <w:p w14:paraId="113989C7" w14:textId="75B3CFD3" w:rsidR="00580F8D" w:rsidRPr="00131909" w:rsidRDefault="00580F8D" w:rsidP="000D1942">
      <w:pPr>
        <w:pStyle w:val="NoSpacing"/>
        <w:spacing w:before="240" w:after="240"/>
        <w:ind w:left="709"/>
        <w:jc w:val="both"/>
        <w:rPr>
          <w:rFonts w:ascii="Arial" w:hAnsi="Arial" w:cs="Arial"/>
          <w:sz w:val="22"/>
          <w:szCs w:val="22"/>
        </w:rPr>
      </w:pPr>
      <w:r w:rsidRPr="00131909">
        <w:rPr>
          <w:rFonts w:ascii="Arial" w:hAnsi="Arial" w:cs="Arial"/>
          <w:b/>
          <w:sz w:val="22"/>
          <w:szCs w:val="22"/>
        </w:rPr>
        <w:t xml:space="preserve">Sutton Way Boulevard, Ellesmere Port - </w:t>
      </w:r>
      <w:r w:rsidRPr="00131909">
        <w:rPr>
          <w:rFonts w:ascii="Arial" w:hAnsi="Arial" w:cs="Arial"/>
          <w:sz w:val="22"/>
          <w:szCs w:val="22"/>
        </w:rPr>
        <w:t xml:space="preserve">The project will provide a new 3 metre wide shared pathway along a mile long key corridor in Ellesmere Port called Sutton Way, connecting into a wider network, providing local residents with  low cost sustainable access to a wide variety of opportunities for work, education , sport and leisure. Sutton Way has been recognised as a major route in the Spatial Concept for the Town in the Vision and Strategic Regeneration Framework of the Ellesmere Port Development Board, linking the town centre with the 'western fringe' and new residential development. The Scheme would also connect Chester via the already upgraded </w:t>
      </w:r>
      <w:proofErr w:type="spellStart"/>
      <w:r w:rsidRPr="00131909">
        <w:rPr>
          <w:rFonts w:ascii="Arial" w:hAnsi="Arial" w:cs="Arial"/>
          <w:sz w:val="22"/>
          <w:szCs w:val="22"/>
        </w:rPr>
        <w:t>Stanney</w:t>
      </w:r>
      <w:proofErr w:type="spellEnd"/>
      <w:r w:rsidRPr="00131909">
        <w:rPr>
          <w:rFonts w:ascii="Arial" w:hAnsi="Arial" w:cs="Arial"/>
          <w:sz w:val="22"/>
          <w:szCs w:val="22"/>
        </w:rPr>
        <w:t xml:space="preserve"> Lane; providing access to the canal and create a contiguous route to Chester via the canal and to the A5117 (subject to separate bids) for employment and further education opportunities at Thornton Science Park.</w:t>
      </w:r>
    </w:p>
    <w:p w14:paraId="0E38C293" w14:textId="4F7A3173" w:rsidR="00580F8D" w:rsidRPr="00131909" w:rsidRDefault="00580F8D" w:rsidP="000D1942">
      <w:pPr>
        <w:pStyle w:val="NoSpacing"/>
        <w:spacing w:before="240" w:after="240"/>
        <w:ind w:left="709"/>
        <w:jc w:val="both"/>
        <w:rPr>
          <w:rFonts w:ascii="Arial" w:hAnsi="Arial" w:cs="Arial"/>
          <w:sz w:val="22"/>
          <w:szCs w:val="22"/>
        </w:rPr>
      </w:pPr>
      <w:r w:rsidRPr="00131909">
        <w:rPr>
          <w:rFonts w:ascii="Arial" w:hAnsi="Arial" w:cs="Arial"/>
          <w:b/>
          <w:sz w:val="22"/>
          <w:szCs w:val="22"/>
        </w:rPr>
        <w:t>Station View and Canal Towpath Enhancement -</w:t>
      </w:r>
      <w:r w:rsidRPr="00131909">
        <w:rPr>
          <w:rFonts w:ascii="Arial" w:hAnsi="Arial" w:cs="Arial"/>
          <w:sz w:val="22"/>
          <w:szCs w:val="22"/>
        </w:rPr>
        <w:t xml:space="preserve"> This project combines the enhancement and maintenance of a 2.2 km stretch of the canal towpath between the A41, Ellesmere Port and Chester along with a significant access improvement to the canal towpath in Chester. This includes the provision of a fit for purpose foot-bridge over the railway line at Station View in Chester. This helps link the towpath cycle route to the new Chester Business Quarter and the also improves access to and from Chester Railway Station. It also includes an enhanced access point to the towpath in Chester at the Westminster Road Canal Bridge and new access at Pearl Lane. Upon completion an interdependent scheme to install a toucan crossing and canal ramp access linking to National Cycle Network Route 56 at Westminster Road can be facilitated as the new bridge improvements will allow for traffic diversions, enhancing sustainable travel opportunities to access employment, education and leisure facilities. The existing bridge weight and traffic restrictions have generated diversionary routes for bus services, whereby it is estimated operators have lost approximately 4,000 trips per annum, accumulating additional mileage and costs, with </w:t>
      </w:r>
      <w:r w:rsidRPr="00131909">
        <w:rPr>
          <w:rFonts w:ascii="Arial" w:hAnsi="Arial" w:cs="Arial"/>
          <w:sz w:val="22"/>
          <w:szCs w:val="22"/>
        </w:rPr>
        <w:lastRenderedPageBreak/>
        <w:t xml:space="preserve">increased environmental impact from emissions while affecting journey time reliability. The new bridge will also be future proofed </w:t>
      </w:r>
      <w:r w:rsidR="001240CB">
        <w:rPr>
          <w:rFonts w:ascii="Arial" w:hAnsi="Arial" w:cs="Arial"/>
          <w:sz w:val="22"/>
          <w:szCs w:val="22"/>
        </w:rPr>
        <w:t>for</w:t>
      </w:r>
      <w:r w:rsidRPr="00131909">
        <w:rPr>
          <w:rFonts w:ascii="Arial" w:hAnsi="Arial" w:cs="Arial"/>
          <w:sz w:val="22"/>
          <w:szCs w:val="22"/>
        </w:rPr>
        <w:t xml:space="preserve"> </w:t>
      </w:r>
      <w:r w:rsidR="001240CB">
        <w:rPr>
          <w:rFonts w:ascii="Arial" w:hAnsi="Arial" w:cs="Arial"/>
          <w:sz w:val="22"/>
          <w:szCs w:val="22"/>
        </w:rPr>
        <w:t xml:space="preserve">potential </w:t>
      </w:r>
      <w:r w:rsidRPr="00131909">
        <w:rPr>
          <w:rFonts w:ascii="Arial" w:hAnsi="Arial" w:cs="Arial"/>
          <w:sz w:val="22"/>
          <w:szCs w:val="22"/>
        </w:rPr>
        <w:t>electrification of the railway.</w:t>
      </w:r>
    </w:p>
    <w:p w14:paraId="60075453" w14:textId="4ECFDB56" w:rsidR="00462C1B" w:rsidRPr="00131909" w:rsidRDefault="00462C1B" w:rsidP="000D1942">
      <w:pPr>
        <w:pStyle w:val="NoSpacing"/>
        <w:spacing w:before="240" w:after="240"/>
        <w:ind w:left="709"/>
        <w:jc w:val="both"/>
        <w:rPr>
          <w:rFonts w:ascii="Arial" w:hAnsi="Arial" w:cs="Arial"/>
          <w:sz w:val="22"/>
          <w:szCs w:val="22"/>
        </w:rPr>
      </w:pPr>
      <w:r w:rsidRPr="00131909">
        <w:rPr>
          <w:rFonts w:ascii="Arial" w:hAnsi="Arial" w:cs="Arial"/>
          <w:b/>
          <w:sz w:val="22"/>
          <w:szCs w:val="22"/>
        </w:rPr>
        <w:t xml:space="preserve">Trans Pennine Trail upgrade - </w:t>
      </w:r>
      <w:r w:rsidRPr="00131909">
        <w:rPr>
          <w:rFonts w:ascii="Arial" w:hAnsi="Arial" w:cs="Arial"/>
          <w:sz w:val="22"/>
          <w:szCs w:val="22"/>
        </w:rPr>
        <w:t xml:space="preserve">This scheme will see the upgrade of the Trans Pennine Trail (TPT) within Warrington between Knutsford Road (A50) and Chester Road (A5060).  The present path is of poor quality, suffers from drainage issues, and is less than 1m wide in places which makes it less attractive for use by pedestrians, cyclists and mobility scooters. The project will widen the path to 3m, clearing back encroaching vegetation to improve visibility and personal security and will provide suitable crossing points at the main roads. The TPT is also a much valued tourist asset as it is used by over 100,000 visitors a year many of whom are using the trail as part of a long distance cycling holiday.  </w:t>
      </w:r>
    </w:p>
    <w:p w14:paraId="31975AF4" w14:textId="6C994EDA" w:rsidR="00462C1B" w:rsidRPr="00131909" w:rsidRDefault="00462C1B" w:rsidP="000D1942">
      <w:pPr>
        <w:pStyle w:val="NoSpacing"/>
        <w:spacing w:before="240" w:after="240"/>
        <w:ind w:left="709"/>
        <w:jc w:val="both"/>
        <w:rPr>
          <w:rFonts w:ascii="Arial" w:hAnsi="Arial" w:cs="Arial"/>
          <w:sz w:val="22"/>
          <w:szCs w:val="22"/>
        </w:rPr>
      </w:pPr>
      <w:r w:rsidRPr="00131909">
        <w:rPr>
          <w:rFonts w:ascii="Arial" w:hAnsi="Arial" w:cs="Arial"/>
          <w:b/>
          <w:sz w:val="22"/>
          <w:szCs w:val="22"/>
        </w:rPr>
        <w:t xml:space="preserve">Chester Road promenade route - </w:t>
      </w:r>
      <w:r w:rsidRPr="00131909">
        <w:rPr>
          <w:rFonts w:ascii="Arial" w:hAnsi="Arial" w:cs="Arial"/>
          <w:sz w:val="22"/>
          <w:szCs w:val="22"/>
        </w:rPr>
        <w:t xml:space="preserve">The Chester Road promenade route would run along Chester Road (A5060) in Warrington between the junction with the planned Centre Park Link scheme and the town centre. Most of the route would be alongside the River Mersey and would provide a safe and secure route which would be attractive to pedestrians and cyclists.  At the northern end the route would link with the access road into the Centre Park employment area (which has over 2,200 employees), and would also link with two possible routes into the southern end of Warrington Town Centre - one alongside the west bank of the River Mersey to connect with </w:t>
      </w:r>
      <w:proofErr w:type="spellStart"/>
      <w:r w:rsidRPr="00131909">
        <w:rPr>
          <w:rFonts w:ascii="Arial" w:hAnsi="Arial" w:cs="Arial"/>
          <w:sz w:val="22"/>
          <w:szCs w:val="22"/>
        </w:rPr>
        <w:t>Arpley</w:t>
      </w:r>
      <w:proofErr w:type="spellEnd"/>
      <w:r w:rsidRPr="00131909">
        <w:rPr>
          <w:rFonts w:ascii="Arial" w:hAnsi="Arial" w:cs="Arial"/>
          <w:sz w:val="22"/>
          <w:szCs w:val="22"/>
        </w:rPr>
        <w:t xml:space="preserve"> Road, and the other using the existing wide pavement on </w:t>
      </w:r>
      <w:proofErr w:type="spellStart"/>
      <w:r w:rsidRPr="00131909">
        <w:rPr>
          <w:rFonts w:ascii="Arial" w:hAnsi="Arial" w:cs="Arial"/>
          <w:sz w:val="22"/>
          <w:szCs w:val="22"/>
        </w:rPr>
        <w:t>Wilderspool</w:t>
      </w:r>
      <w:proofErr w:type="spellEnd"/>
      <w:r w:rsidRPr="00131909">
        <w:rPr>
          <w:rFonts w:ascii="Arial" w:hAnsi="Arial" w:cs="Arial"/>
          <w:sz w:val="22"/>
          <w:szCs w:val="22"/>
        </w:rPr>
        <w:t xml:space="preserve"> Causeway bridge. At the southern end, the route would link with the Trans Pennine Trail which is one of the strategic cycle routes across Warrington. A design competition will take place in early 2018 to seek innovative solutions to providing a suitable cycle route in keeping with its prominent location. This will examin</w:t>
      </w:r>
      <w:r w:rsidR="001240CB">
        <w:rPr>
          <w:rFonts w:ascii="Arial" w:hAnsi="Arial" w:cs="Arial"/>
          <w:sz w:val="22"/>
          <w:szCs w:val="22"/>
        </w:rPr>
        <w:t>e</w:t>
      </w:r>
      <w:r w:rsidRPr="00131909">
        <w:rPr>
          <w:rFonts w:ascii="Arial" w:hAnsi="Arial" w:cs="Arial"/>
          <w:sz w:val="22"/>
          <w:szCs w:val="22"/>
        </w:rPr>
        <w:t xml:space="preserve"> options for linking with the surrounding cycle network and ensuring a high profile and attractive cycle route serving the employment destinations in this area.</w:t>
      </w:r>
    </w:p>
    <w:p w14:paraId="6B983D4B" w14:textId="26710105" w:rsidR="00462C1B" w:rsidRPr="00131909" w:rsidRDefault="00462C1B" w:rsidP="000D1942">
      <w:pPr>
        <w:pStyle w:val="NoSpacing"/>
        <w:spacing w:before="240" w:after="240"/>
        <w:ind w:left="709"/>
        <w:jc w:val="both"/>
        <w:rPr>
          <w:rFonts w:ascii="Arial" w:hAnsi="Arial" w:cs="Arial"/>
          <w:sz w:val="22"/>
          <w:szCs w:val="22"/>
        </w:rPr>
      </w:pPr>
      <w:proofErr w:type="spellStart"/>
      <w:r w:rsidRPr="00131909">
        <w:rPr>
          <w:rFonts w:ascii="Arial" w:hAnsi="Arial" w:cs="Arial"/>
          <w:b/>
          <w:sz w:val="22"/>
          <w:szCs w:val="22"/>
        </w:rPr>
        <w:t>Burtonwood</w:t>
      </w:r>
      <w:proofErr w:type="spellEnd"/>
      <w:r w:rsidRPr="00131909">
        <w:rPr>
          <w:rFonts w:ascii="Arial" w:hAnsi="Arial" w:cs="Arial"/>
          <w:b/>
          <w:sz w:val="22"/>
          <w:szCs w:val="22"/>
        </w:rPr>
        <w:t xml:space="preserve"> to Omega shared use path - </w:t>
      </w:r>
      <w:r w:rsidRPr="00131909">
        <w:rPr>
          <w:rFonts w:ascii="Arial" w:hAnsi="Arial" w:cs="Arial"/>
          <w:sz w:val="22"/>
          <w:szCs w:val="22"/>
        </w:rPr>
        <w:t xml:space="preserve">This is a new 3.5m wide shared use path alongside </w:t>
      </w:r>
      <w:proofErr w:type="spellStart"/>
      <w:r w:rsidRPr="00131909">
        <w:rPr>
          <w:rFonts w:ascii="Arial" w:hAnsi="Arial" w:cs="Arial"/>
          <w:sz w:val="22"/>
          <w:szCs w:val="22"/>
        </w:rPr>
        <w:t>Burtonwood</w:t>
      </w:r>
      <w:proofErr w:type="spellEnd"/>
      <w:r w:rsidRPr="00131909">
        <w:rPr>
          <w:rFonts w:ascii="Arial" w:hAnsi="Arial" w:cs="Arial"/>
          <w:sz w:val="22"/>
          <w:szCs w:val="22"/>
        </w:rPr>
        <w:t xml:space="preserve"> Road/Clay Lane in North Warrington which aims to provide a safe, secure and attractive cycling and walking link between the west side of </w:t>
      </w:r>
      <w:proofErr w:type="spellStart"/>
      <w:r w:rsidRPr="00131909">
        <w:rPr>
          <w:rFonts w:ascii="Arial" w:hAnsi="Arial" w:cs="Arial"/>
          <w:sz w:val="22"/>
          <w:szCs w:val="22"/>
        </w:rPr>
        <w:t>Burtonwood</w:t>
      </w:r>
      <w:proofErr w:type="spellEnd"/>
      <w:r w:rsidRPr="00131909">
        <w:rPr>
          <w:rFonts w:ascii="Arial" w:hAnsi="Arial" w:cs="Arial"/>
          <w:sz w:val="22"/>
          <w:szCs w:val="22"/>
        </w:rPr>
        <w:t xml:space="preserve"> village and the commercial and employment growth areas of Omega, Gemini and Lingley Mere. The length of the proposed path is 2.4km. There is currently no path alongside the road due to its rural nature but the construction of Junction 8 of the M62 and the on-going growth of the Omega employment site has meant a significant uplift in traffic levels on this road.  Pedestrians must walk within the unlit and busy carriageway between the village and Omega which is an unsatisfactory situation especially as many residents have taken advantage of the recent substantial job creation at Omega. The new path will also be very beneficial to existing and potential cyclists because it will allow them to avoid the intimidating high speeds of traffic and sharp bends on the route.  In addition, the scheme will include a link to the east side of </w:t>
      </w:r>
      <w:proofErr w:type="spellStart"/>
      <w:r w:rsidRPr="00131909">
        <w:rPr>
          <w:rFonts w:ascii="Arial" w:hAnsi="Arial" w:cs="Arial"/>
          <w:sz w:val="22"/>
          <w:szCs w:val="22"/>
        </w:rPr>
        <w:t>Burtonwood</w:t>
      </w:r>
      <w:proofErr w:type="spellEnd"/>
      <w:r w:rsidRPr="00131909">
        <w:rPr>
          <w:rFonts w:ascii="Arial" w:hAnsi="Arial" w:cs="Arial"/>
          <w:sz w:val="22"/>
          <w:szCs w:val="22"/>
        </w:rPr>
        <w:t xml:space="preserve"> village using the existing Barn Lane</w:t>
      </w:r>
      <w:r w:rsidR="00131909">
        <w:rPr>
          <w:rFonts w:ascii="Arial" w:hAnsi="Arial" w:cs="Arial"/>
          <w:sz w:val="22"/>
          <w:szCs w:val="22"/>
        </w:rPr>
        <w:t>;</w:t>
      </w:r>
      <w:r w:rsidRPr="00131909">
        <w:rPr>
          <w:rFonts w:ascii="Arial" w:hAnsi="Arial" w:cs="Arial"/>
          <w:sz w:val="22"/>
          <w:szCs w:val="22"/>
        </w:rPr>
        <w:t xml:space="preserve"> a </w:t>
      </w:r>
      <w:r w:rsidR="00131909" w:rsidRPr="00131909">
        <w:rPr>
          <w:rFonts w:ascii="Arial" w:hAnsi="Arial" w:cs="Arial"/>
          <w:sz w:val="22"/>
          <w:szCs w:val="22"/>
        </w:rPr>
        <w:t>non-vehicular</w:t>
      </w:r>
      <w:r w:rsidRPr="00131909">
        <w:rPr>
          <w:rFonts w:ascii="Arial" w:hAnsi="Arial" w:cs="Arial"/>
          <w:sz w:val="22"/>
          <w:szCs w:val="22"/>
        </w:rPr>
        <w:t xml:space="preserve"> lane which is also a public right of way. The need for the scheme emerged from the </w:t>
      </w:r>
      <w:proofErr w:type="spellStart"/>
      <w:r w:rsidRPr="00131909">
        <w:rPr>
          <w:rFonts w:ascii="Arial" w:hAnsi="Arial" w:cs="Arial"/>
          <w:sz w:val="22"/>
          <w:szCs w:val="22"/>
        </w:rPr>
        <w:t>Burtonwood</w:t>
      </w:r>
      <w:proofErr w:type="spellEnd"/>
      <w:r w:rsidRPr="00131909">
        <w:rPr>
          <w:rFonts w:ascii="Arial" w:hAnsi="Arial" w:cs="Arial"/>
          <w:sz w:val="22"/>
          <w:szCs w:val="22"/>
        </w:rPr>
        <w:t xml:space="preserve"> Transport study in 2015 which included a two stage public consultation exercise. Ongoing contact with the parish council and ward members has re-affirmed the need for this important link.</w:t>
      </w:r>
    </w:p>
    <w:p w14:paraId="6E3A3641" w14:textId="4459EED2" w:rsidR="00F463B7" w:rsidRPr="00131909" w:rsidRDefault="00FC3A4E" w:rsidP="009E3A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Assessment of Schemes</w:t>
      </w:r>
    </w:p>
    <w:p w14:paraId="5270FBB0" w14:textId="171C1169" w:rsidR="00FC3A4E" w:rsidRPr="00131909" w:rsidRDefault="00FC3A4E" w:rsidP="009E3A09">
      <w:pPr>
        <w:pStyle w:val="NoSpacing"/>
        <w:numPr>
          <w:ilvl w:val="1"/>
          <w:numId w:val="33"/>
        </w:numPr>
        <w:spacing w:after="120"/>
        <w:ind w:left="709" w:hanging="709"/>
        <w:jc w:val="both"/>
        <w:rPr>
          <w:rFonts w:ascii="Arial" w:hAnsi="Arial" w:cs="Arial"/>
          <w:sz w:val="22"/>
          <w:szCs w:val="22"/>
        </w:rPr>
      </w:pPr>
      <w:r w:rsidRPr="00131909">
        <w:rPr>
          <w:rFonts w:ascii="Arial" w:hAnsi="Arial" w:cs="Arial"/>
          <w:sz w:val="22"/>
          <w:szCs w:val="22"/>
        </w:rPr>
        <w:t>The schemes were assessed against the following criteria:</w:t>
      </w:r>
    </w:p>
    <w:p w14:paraId="53746EEB" w14:textId="77777777" w:rsidR="00FC3A4E" w:rsidRPr="00131909" w:rsidRDefault="00FC3A4E" w:rsidP="00D4665E">
      <w:pPr>
        <w:pStyle w:val="NoSpacing"/>
        <w:numPr>
          <w:ilvl w:val="0"/>
          <w:numId w:val="37"/>
        </w:numPr>
        <w:spacing w:after="120"/>
        <w:ind w:left="1066" w:hanging="357"/>
        <w:contextualSpacing/>
        <w:jc w:val="both"/>
        <w:rPr>
          <w:rFonts w:ascii="Arial" w:hAnsi="Arial" w:cs="Arial"/>
          <w:sz w:val="22"/>
          <w:szCs w:val="22"/>
        </w:rPr>
      </w:pPr>
      <w:r w:rsidRPr="00131909">
        <w:rPr>
          <w:rFonts w:ascii="Arial" w:hAnsi="Arial" w:cs="Arial"/>
          <w:sz w:val="22"/>
          <w:szCs w:val="22"/>
        </w:rPr>
        <w:t>Value for Money – in line with DfT criteria we would not normally expect to bud bids with BCRs less than 1.5.  The LEP is particularly interested in schemes which have local funding contributions and/or which are eligible for ERDF.</w:t>
      </w:r>
    </w:p>
    <w:p w14:paraId="34D0215C" w14:textId="77777777" w:rsidR="00FC3A4E" w:rsidRPr="00131909" w:rsidRDefault="00FC3A4E" w:rsidP="00D4665E">
      <w:pPr>
        <w:pStyle w:val="NoSpacing"/>
        <w:numPr>
          <w:ilvl w:val="0"/>
          <w:numId w:val="37"/>
        </w:numPr>
        <w:spacing w:after="120"/>
        <w:ind w:left="1066" w:hanging="357"/>
        <w:contextualSpacing/>
        <w:jc w:val="both"/>
        <w:rPr>
          <w:rFonts w:ascii="Arial" w:hAnsi="Arial" w:cs="Arial"/>
          <w:sz w:val="22"/>
          <w:szCs w:val="22"/>
        </w:rPr>
      </w:pPr>
      <w:r w:rsidRPr="00131909">
        <w:rPr>
          <w:rFonts w:ascii="Arial" w:hAnsi="Arial" w:cs="Arial"/>
          <w:sz w:val="22"/>
          <w:szCs w:val="22"/>
        </w:rPr>
        <w:t>Deliverability/Risk – the C&amp;W LEP is looking to support schemes which have a high certainty of delivery before March 2021</w:t>
      </w:r>
    </w:p>
    <w:p w14:paraId="2F9CA728" w14:textId="77777777" w:rsidR="00FC3A4E" w:rsidRPr="00131909" w:rsidRDefault="00FC3A4E" w:rsidP="00D4665E">
      <w:pPr>
        <w:pStyle w:val="NoSpacing"/>
        <w:numPr>
          <w:ilvl w:val="0"/>
          <w:numId w:val="37"/>
        </w:numPr>
        <w:spacing w:after="120"/>
        <w:ind w:left="1066" w:hanging="357"/>
        <w:contextualSpacing/>
        <w:jc w:val="both"/>
        <w:rPr>
          <w:rFonts w:ascii="Arial" w:hAnsi="Arial" w:cs="Arial"/>
          <w:sz w:val="22"/>
          <w:szCs w:val="22"/>
        </w:rPr>
      </w:pPr>
      <w:r w:rsidRPr="00131909">
        <w:rPr>
          <w:rFonts w:ascii="Arial" w:hAnsi="Arial" w:cs="Arial"/>
          <w:sz w:val="22"/>
          <w:szCs w:val="22"/>
        </w:rPr>
        <w:lastRenderedPageBreak/>
        <w:t>Level of fit with the original bid criteria (which can be qualitative where quantitative information is not available), particularly:</w:t>
      </w:r>
    </w:p>
    <w:p w14:paraId="27C5701E" w14:textId="77777777" w:rsidR="00FC3A4E" w:rsidRPr="00131909" w:rsidRDefault="00FC3A4E" w:rsidP="00D4665E">
      <w:pPr>
        <w:pStyle w:val="NoSpacing"/>
        <w:numPr>
          <w:ilvl w:val="0"/>
          <w:numId w:val="37"/>
        </w:numPr>
        <w:spacing w:after="120"/>
        <w:ind w:left="1066" w:hanging="357"/>
        <w:contextualSpacing/>
        <w:jc w:val="both"/>
        <w:rPr>
          <w:rFonts w:ascii="Arial" w:hAnsi="Arial" w:cs="Arial"/>
          <w:sz w:val="22"/>
          <w:szCs w:val="22"/>
        </w:rPr>
      </w:pPr>
      <w:r w:rsidRPr="00131909">
        <w:rPr>
          <w:rFonts w:ascii="Arial" w:hAnsi="Arial" w:cs="Arial"/>
          <w:sz w:val="22"/>
          <w:szCs w:val="22"/>
        </w:rPr>
        <w:t>Strategic policy fit</w:t>
      </w:r>
    </w:p>
    <w:p w14:paraId="5C6AE66B" w14:textId="77777777" w:rsidR="00FC3A4E" w:rsidRPr="00131909" w:rsidRDefault="00FC3A4E" w:rsidP="00D4665E">
      <w:pPr>
        <w:pStyle w:val="NoSpacing"/>
        <w:numPr>
          <w:ilvl w:val="0"/>
          <w:numId w:val="37"/>
        </w:numPr>
        <w:spacing w:after="120"/>
        <w:ind w:left="1066" w:hanging="357"/>
        <w:contextualSpacing/>
        <w:jc w:val="both"/>
        <w:rPr>
          <w:rFonts w:ascii="Arial" w:hAnsi="Arial" w:cs="Arial"/>
          <w:sz w:val="22"/>
          <w:szCs w:val="22"/>
        </w:rPr>
      </w:pPr>
      <w:r w:rsidRPr="00131909">
        <w:rPr>
          <w:rFonts w:ascii="Arial" w:hAnsi="Arial" w:cs="Arial"/>
          <w:sz w:val="22"/>
          <w:szCs w:val="22"/>
        </w:rPr>
        <w:t>Impact on jobs</w:t>
      </w:r>
    </w:p>
    <w:p w14:paraId="0C168791" w14:textId="77777777" w:rsidR="00FC3A4E" w:rsidRPr="00131909" w:rsidRDefault="00FC3A4E" w:rsidP="00D4665E">
      <w:pPr>
        <w:pStyle w:val="NoSpacing"/>
        <w:numPr>
          <w:ilvl w:val="0"/>
          <w:numId w:val="37"/>
        </w:numPr>
        <w:spacing w:after="120"/>
        <w:ind w:left="1066" w:hanging="357"/>
        <w:contextualSpacing/>
        <w:jc w:val="both"/>
        <w:rPr>
          <w:rFonts w:ascii="Arial" w:hAnsi="Arial" w:cs="Arial"/>
          <w:sz w:val="22"/>
          <w:szCs w:val="22"/>
        </w:rPr>
      </w:pPr>
      <w:r w:rsidRPr="00131909">
        <w:rPr>
          <w:rFonts w:ascii="Arial" w:hAnsi="Arial" w:cs="Arial"/>
          <w:sz w:val="22"/>
          <w:szCs w:val="22"/>
        </w:rPr>
        <w:t>New homes supported</w:t>
      </w:r>
    </w:p>
    <w:p w14:paraId="575B8058" w14:textId="77777777" w:rsidR="00FC3A4E" w:rsidRPr="00131909" w:rsidRDefault="00FC3A4E" w:rsidP="00D4665E">
      <w:pPr>
        <w:pStyle w:val="NoSpacing"/>
        <w:numPr>
          <w:ilvl w:val="0"/>
          <w:numId w:val="37"/>
        </w:numPr>
        <w:spacing w:after="120"/>
        <w:ind w:left="1066" w:hanging="357"/>
        <w:contextualSpacing/>
        <w:jc w:val="both"/>
        <w:rPr>
          <w:rFonts w:ascii="Arial" w:hAnsi="Arial" w:cs="Arial"/>
          <w:sz w:val="22"/>
          <w:szCs w:val="22"/>
        </w:rPr>
      </w:pPr>
      <w:r w:rsidRPr="00131909">
        <w:rPr>
          <w:rFonts w:ascii="Arial" w:hAnsi="Arial" w:cs="Arial"/>
          <w:sz w:val="22"/>
          <w:szCs w:val="22"/>
        </w:rPr>
        <w:t>Growth in GVA</w:t>
      </w:r>
    </w:p>
    <w:p w14:paraId="6C57926C" w14:textId="77777777" w:rsidR="00FC3A4E" w:rsidRPr="00131909" w:rsidRDefault="00FC3A4E" w:rsidP="00FC3A4E">
      <w:pPr>
        <w:pStyle w:val="NoSpacing"/>
        <w:numPr>
          <w:ilvl w:val="0"/>
          <w:numId w:val="37"/>
        </w:numPr>
        <w:spacing w:after="120"/>
        <w:jc w:val="both"/>
        <w:rPr>
          <w:rFonts w:ascii="Arial" w:hAnsi="Arial" w:cs="Arial"/>
          <w:sz w:val="22"/>
          <w:szCs w:val="22"/>
        </w:rPr>
      </w:pPr>
      <w:r w:rsidRPr="00131909">
        <w:rPr>
          <w:rFonts w:ascii="Arial" w:hAnsi="Arial" w:cs="Arial"/>
          <w:sz w:val="22"/>
          <w:szCs w:val="22"/>
        </w:rPr>
        <w:t>Wider benefits: decongestion, health, environmental, accidents</w:t>
      </w:r>
    </w:p>
    <w:p w14:paraId="76992CFF" w14:textId="530E149C" w:rsidR="00FC3A4E" w:rsidRPr="006B7366" w:rsidRDefault="00FC3A4E" w:rsidP="006B7366">
      <w:pPr>
        <w:pStyle w:val="NoSpacing"/>
        <w:numPr>
          <w:ilvl w:val="1"/>
          <w:numId w:val="33"/>
        </w:numPr>
        <w:spacing w:after="120"/>
        <w:ind w:left="709" w:hanging="709"/>
        <w:jc w:val="both"/>
        <w:rPr>
          <w:rFonts w:ascii="Arial" w:hAnsi="Arial" w:cs="Arial"/>
          <w:sz w:val="22"/>
          <w:szCs w:val="22"/>
        </w:rPr>
      </w:pPr>
      <w:r w:rsidRPr="00131909">
        <w:rPr>
          <w:rFonts w:ascii="Arial" w:hAnsi="Arial" w:cs="Arial"/>
          <w:sz w:val="22"/>
          <w:szCs w:val="22"/>
        </w:rPr>
        <w:t xml:space="preserve">Schemes were also evaluated on the basis fit with original bid criteria and value for money, deliverability and level of </w:t>
      </w:r>
      <w:r w:rsidR="006B7366">
        <w:rPr>
          <w:rFonts w:ascii="Arial" w:hAnsi="Arial" w:cs="Arial"/>
          <w:sz w:val="22"/>
          <w:szCs w:val="22"/>
        </w:rPr>
        <w:t xml:space="preserve">risk. </w:t>
      </w:r>
      <w:r w:rsidR="009E3A09">
        <w:rPr>
          <w:rFonts w:ascii="Arial" w:hAnsi="Arial" w:cs="Arial"/>
          <w:sz w:val="22"/>
          <w:szCs w:val="22"/>
        </w:rPr>
        <w:t>A summary of the assessments is set out in Appendix 1.</w:t>
      </w:r>
    </w:p>
    <w:p w14:paraId="2FE7B38F" w14:textId="362BFDDF" w:rsidR="001C21D2" w:rsidRPr="00131909" w:rsidRDefault="00FC3A4E" w:rsidP="00131909">
      <w:pPr>
        <w:pStyle w:val="NoSpacing"/>
        <w:keepNext/>
        <w:keepLines/>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 xml:space="preserve">Proposed Distribution of </w:t>
      </w:r>
      <w:r w:rsidR="00A875D3" w:rsidRPr="00131909">
        <w:rPr>
          <w:rFonts w:ascii="Arial" w:hAnsi="Arial" w:cs="Arial"/>
          <w:b/>
          <w:sz w:val="22"/>
          <w:szCs w:val="22"/>
        </w:rPr>
        <w:t>Funding</w:t>
      </w:r>
    </w:p>
    <w:p w14:paraId="60144A08" w14:textId="55F697C8" w:rsidR="00D4665E" w:rsidRDefault="001B761F" w:rsidP="00131909">
      <w:pPr>
        <w:pStyle w:val="NoSpacing"/>
        <w:keepNext/>
        <w:keepLines/>
        <w:numPr>
          <w:ilvl w:val="1"/>
          <w:numId w:val="33"/>
        </w:numPr>
        <w:spacing w:after="120"/>
        <w:ind w:left="709" w:hanging="709"/>
        <w:jc w:val="both"/>
        <w:rPr>
          <w:rFonts w:ascii="Arial" w:hAnsi="Arial" w:cs="Arial"/>
          <w:sz w:val="22"/>
          <w:szCs w:val="22"/>
        </w:rPr>
      </w:pPr>
      <w:r w:rsidRPr="001B761F">
        <w:rPr>
          <w:rFonts w:ascii="Arial" w:hAnsi="Arial" w:cs="Arial"/>
          <w:sz w:val="22"/>
          <w:szCs w:val="22"/>
        </w:rPr>
        <w:t xml:space="preserve">Bids were received for 8 schemes totalling around £7.5 million.  Following assessment of the bids discussions </w:t>
      </w:r>
      <w:r>
        <w:rPr>
          <w:rFonts w:ascii="Arial" w:hAnsi="Arial" w:cs="Arial"/>
          <w:sz w:val="22"/>
          <w:szCs w:val="22"/>
        </w:rPr>
        <w:t xml:space="preserve">were undertaken </w:t>
      </w:r>
      <w:r w:rsidRPr="001B761F">
        <w:rPr>
          <w:rFonts w:ascii="Arial" w:hAnsi="Arial" w:cs="Arial"/>
          <w:sz w:val="22"/>
          <w:szCs w:val="22"/>
        </w:rPr>
        <w:t xml:space="preserve">with authorities </w:t>
      </w:r>
      <w:r w:rsidR="00EC6DA2">
        <w:rPr>
          <w:rFonts w:ascii="Arial" w:hAnsi="Arial" w:cs="Arial"/>
          <w:sz w:val="22"/>
          <w:szCs w:val="22"/>
        </w:rPr>
        <w:t>to focus the funds to deliver the greatest outcomes</w:t>
      </w:r>
      <w:r>
        <w:rPr>
          <w:rFonts w:ascii="Arial" w:hAnsi="Arial" w:cs="Arial"/>
          <w:sz w:val="22"/>
          <w:szCs w:val="22"/>
        </w:rPr>
        <w:t xml:space="preserve">.  </w:t>
      </w:r>
      <w:r w:rsidR="00EC6DA2">
        <w:rPr>
          <w:rFonts w:ascii="Arial" w:hAnsi="Arial" w:cs="Arial"/>
          <w:sz w:val="22"/>
          <w:szCs w:val="22"/>
        </w:rPr>
        <w:t>Discussions were undertaken with Cheshire West and Chester about the</w:t>
      </w:r>
      <w:r>
        <w:rPr>
          <w:rFonts w:ascii="Arial" w:hAnsi="Arial" w:cs="Arial"/>
          <w:sz w:val="22"/>
          <w:szCs w:val="22"/>
        </w:rPr>
        <w:t xml:space="preserve"> Station View and Canal Towpath scheme</w:t>
      </w:r>
      <w:r w:rsidR="00EC6DA2">
        <w:rPr>
          <w:rFonts w:ascii="Arial" w:hAnsi="Arial" w:cs="Arial"/>
          <w:sz w:val="22"/>
          <w:szCs w:val="22"/>
        </w:rPr>
        <w:t xml:space="preserve">.  This </w:t>
      </w:r>
      <w:r w:rsidR="00E0506C">
        <w:rPr>
          <w:rFonts w:ascii="Arial" w:hAnsi="Arial" w:cs="Arial"/>
          <w:sz w:val="22"/>
          <w:szCs w:val="22"/>
        </w:rPr>
        <w:t>would have consumed more than 50% of the available budget</w:t>
      </w:r>
      <w:r w:rsidR="00EC6DA2">
        <w:rPr>
          <w:rFonts w:ascii="Arial" w:hAnsi="Arial" w:cs="Arial"/>
          <w:sz w:val="22"/>
          <w:szCs w:val="22"/>
        </w:rPr>
        <w:t xml:space="preserve"> </w:t>
      </w:r>
      <w:r w:rsidR="00D4665E">
        <w:rPr>
          <w:rFonts w:ascii="Arial" w:hAnsi="Arial" w:cs="Arial"/>
          <w:sz w:val="22"/>
          <w:szCs w:val="22"/>
        </w:rPr>
        <w:t>and hence would reduce the ability of the Fund to maximise the outputs of the whole programme.  Furthermore the scheme</w:t>
      </w:r>
      <w:r w:rsidR="00EC6DA2">
        <w:rPr>
          <w:rFonts w:ascii="Arial" w:hAnsi="Arial" w:cs="Arial"/>
          <w:sz w:val="22"/>
          <w:szCs w:val="22"/>
        </w:rPr>
        <w:t xml:space="preserve"> did not have as good a BCR as most of the other projects.  T</w:t>
      </w:r>
      <w:r w:rsidR="00E0506C">
        <w:rPr>
          <w:rFonts w:ascii="Arial" w:hAnsi="Arial" w:cs="Arial"/>
          <w:sz w:val="22"/>
          <w:szCs w:val="22"/>
        </w:rPr>
        <w:t xml:space="preserve">he majority of the funding required </w:t>
      </w:r>
      <w:r w:rsidR="00EC6DA2">
        <w:rPr>
          <w:rFonts w:ascii="Arial" w:hAnsi="Arial" w:cs="Arial"/>
          <w:sz w:val="22"/>
          <w:szCs w:val="22"/>
        </w:rPr>
        <w:t xml:space="preserve">was </w:t>
      </w:r>
      <w:r w:rsidR="00E0506C">
        <w:rPr>
          <w:rFonts w:ascii="Arial" w:hAnsi="Arial" w:cs="Arial"/>
          <w:sz w:val="22"/>
          <w:szCs w:val="22"/>
        </w:rPr>
        <w:t xml:space="preserve">for the replacement of the pedestrian bridge.  </w:t>
      </w:r>
      <w:r w:rsidR="00EC6DA2">
        <w:rPr>
          <w:rFonts w:ascii="Arial" w:hAnsi="Arial" w:cs="Arial"/>
          <w:sz w:val="22"/>
          <w:szCs w:val="22"/>
        </w:rPr>
        <w:t xml:space="preserve">Removal of the bridge replacement from the scheme considerably reduced the cost and increased the </w:t>
      </w:r>
      <w:proofErr w:type="gramStart"/>
      <w:r w:rsidR="00EC6DA2">
        <w:rPr>
          <w:rFonts w:ascii="Arial" w:hAnsi="Arial" w:cs="Arial"/>
          <w:sz w:val="22"/>
          <w:szCs w:val="22"/>
        </w:rPr>
        <w:t>BCR,</w:t>
      </w:r>
      <w:proofErr w:type="gramEnd"/>
      <w:r w:rsidR="00EC6DA2">
        <w:rPr>
          <w:rFonts w:ascii="Arial" w:hAnsi="Arial" w:cs="Arial"/>
          <w:sz w:val="22"/>
          <w:szCs w:val="22"/>
        </w:rPr>
        <w:t xml:space="preserve"> furthermore this also removed the need for </w:t>
      </w:r>
      <w:r w:rsidR="00E0506C">
        <w:rPr>
          <w:rFonts w:ascii="Arial" w:hAnsi="Arial" w:cs="Arial"/>
          <w:sz w:val="22"/>
          <w:szCs w:val="22"/>
        </w:rPr>
        <w:t>Network Rail possessions</w:t>
      </w:r>
      <w:r w:rsidR="00EC6DA2">
        <w:rPr>
          <w:rFonts w:ascii="Arial" w:hAnsi="Arial" w:cs="Arial"/>
          <w:sz w:val="22"/>
          <w:szCs w:val="22"/>
        </w:rPr>
        <w:t xml:space="preserve"> and hence improved deliverability of the scheme</w:t>
      </w:r>
      <w:r w:rsidR="00E0506C">
        <w:rPr>
          <w:rFonts w:ascii="Arial" w:hAnsi="Arial" w:cs="Arial"/>
          <w:sz w:val="22"/>
          <w:szCs w:val="22"/>
        </w:rPr>
        <w:t xml:space="preserve">.  </w:t>
      </w:r>
    </w:p>
    <w:p w14:paraId="44B413E5" w14:textId="50C3A320" w:rsidR="00131909" w:rsidRDefault="00D4665E" w:rsidP="00131909">
      <w:pPr>
        <w:pStyle w:val="NoSpacing"/>
        <w:keepNext/>
        <w:keepLines/>
        <w:numPr>
          <w:ilvl w:val="1"/>
          <w:numId w:val="33"/>
        </w:numPr>
        <w:spacing w:after="120"/>
        <w:ind w:left="709" w:hanging="709"/>
        <w:jc w:val="both"/>
        <w:rPr>
          <w:rFonts w:ascii="Arial" w:hAnsi="Arial" w:cs="Arial"/>
          <w:sz w:val="22"/>
          <w:szCs w:val="22"/>
        </w:rPr>
      </w:pPr>
      <w:r>
        <w:rPr>
          <w:rFonts w:ascii="Arial" w:hAnsi="Arial" w:cs="Arial"/>
          <w:sz w:val="22"/>
          <w:szCs w:val="22"/>
        </w:rPr>
        <w:t>T</w:t>
      </w:r>
      <w:r w:rsidR="00E0506C">
        <w:rPr>
          <w:rFonts w:ascii="Arial" w:hAnsi="Arial" w:cs="Arial"/>
          <w:sz w:val="22"/>
          <w:szCs w:val="22"/>
        </w:rPr>
        <w:t xml:space="preserve">he </w:t>
      </w:r>
      <w:r w:rsidRPr="00E0506C">
        <w:rPr>
          <w:rFonts w:ascii="Arial" w:hAnsi="Arial" w:cs="Arial"/>
          <w:sz w:val="22"/>
          <w:szCs w:val="22"/>
        </w:rPr>
        <w:t xml:space="preserve">Northwest Crewe Cycling </w:t>
      </w:r>
      <w:r>
        <w:rPr>
          <w:rFonts w:ascii="Arial" w:hAnsi="Arial" w:cs="Arial"/>
          <w:sz w:val="22"/>
          <w:szCs w:val="22"/>
        </w:rPr>
        <w:t>&amp;</w:t>
      </w:r>
      <w:r w:rsidRPr="00E0506C">
        <w:rPr>
          <w:rFonts w:ascii="Arial" w:hAnsi="Arial" w:cs="Arial"/>
          <w:sz w:val="22"/>
          <w:szCs w:val="22"/>
        </w:rPr>
        <w:t xml:space="preserve"> Walking Link</w:t>
      </w:r>
      <w:r>
        <w:rPr>
          <w:rFonts w:ascii="Arial" w:hAnsi="Arial" w:cs="Arial"/>
          <w:sz w:val="22"/>
          <w:szCs w:val="22"/>
        </w:rPr>
        <w:t xml:space="preserve"> and </w:t>
      </w:r>
      <w:r w:rsidR="00E0506C">
        <w:rPr>
          <w:rFonts w:ascii="Arial" w:hAnsi="Arial" w:cs="Arial"/>
          <w:sz w:val="22"/>
          <w:szCs w:val="22"/>
        </w:rPr>
        <w:t xml:space="preserve">Wilmslow Strategic Cycle </w:t>
      </w:r>
      <w:r w:rsidR="00EC6DA2">
        <w:rPr>
          <w:rFonts w:ascii="Arial" w:hAnsi="Arial" w:cs="Arial"/>
          <w:sz w:val="22"/>
          <w:szCs w:val="22"/>
        </w:rPr>
        <w:t>&amp;</w:t>
      </w:r>
      <w:r w:rsidR="00E0506C">
        <w:rPr>
          <w:rFonts w:ascii="Arial" w:hAnsi="Arial" w:cs="Arial"/>
          <w:sz w:val="22"/>
          <w:szCs w:val="22"/>
        </w:rPr>
        <w:t xml:space="preserve"> Walking Route </w:t>
      </w:r>
      <w:r>
        <w:rPr>
          <w:rFonts w:ascii="Arial" w:hAnsi="Arial" w:cs="Arial"/>
          <w:sz w:val="22"/>
          <w:szCs w:val="22"/>
        </w:rPr>
        <w:t>were more expensive than the majority of bids</w:t>
      </w:r>
      <w:r w:rsidR="00B3160A">
        <w:rPr>
          <w:rFonts w:ascii="Arial" w:hAnsi="Arial" w:cs="Arial"/>
          <w:sz w:val="22"/>
          <w:szCs w:val="22"/>
        </w:rPr>
        <w:t>,</w:t>
      </w:r>
      <w:r>
        <w:rPr>
          <w:rFonts w:ascii="Arial" w:hAnsi="Arial" w:cs="Arial"/>
          <w:sz w:val="22"/>
          <w:szCs w:val="22"/>
        </w:rPr>
        <w:t xml:space="preserve"> with the Crew</w:t>
      </w:r>
      <w:r w:rsidR="00A558A9">
        <w:rPr>
          <w:rFonts w:ascii="Arial" w:hAnsi="Arial" w:cs="Arial"/>
          <w:sz w:val="22"/>
          <w:szCs w:val="22"/>
        </w:rPr>
        <w:t>e scheme not having as high a B</w:t>
      </w:r>
      <w:r>
        <w:rPr>
          <w:rFonts w:ascii="Arial" w:hAnsi="Arial" w:cs="Arial"/>
          <w:sz w:val="22"/>
          <w:szCs w:val="22"/>
        </w:rPr>
        <w:t>C</w:t>
      </w:r>
      <w:r w:rsidR="00A558A9">
        <w:rPr>
          <w:rFonts w:ascii="Arial" w:hAnsi="Arial" w:cs="Arial"/>
          <w:sz w:val="22"/>
          <w:szCs w:val="22"/>
        </w:rPr>
        <w:t>R</w:t>
      </w:r>
      <w:r>
        <w:rPr>
          <w:rFonts w:ascii="Arial" w:hAnsi="Arial" w:cs="Arial"/>
          <w:sz w:val="22"/>
          <w:szCs w:val="22"/>
        </w:rPr>
        <w:t xml:space="preserve">, albeit still a good BCR.  Fully funding these schemes </w:t>
      </w:r>
      <w:r w:rsidRPr="00D4665E">
        <w:rPr>
          <w:rFonts w:ascii="Arial" w:hAnsi="Arial" w:cs="Arial"/>
          <w:sz w:val="22"/>
          <w:szCs w:val="22"/>
        </w:rPr>
        <w:t xml:space="preserve">would reduce the </w:t>
      </w:r>
      <w:bookmarkStart w:id="0" w:name="_GoBack"/>
      <w:bookmarkEnd w:id="0"/>
      <w:r w:rsidRPr="00D4665E">
        <w:rPr>
          <w:rFonts w:ascii="Arial" w:hAnsi="Arial" w:cs="Arial"/>
          <w:sz w:val="22"/>
          <w:szCs w:val="22"/>
        </w:rPr>
        <w:t>ability to maximise the outputs of the whole programme</w:t>
      </w:r>
      <w:r>
        <w:rPr>
          <w:rFonts w:ascii="Arial" w:hAnsi="Arial" w:cs="Arial"/>
          <w:sz w:val="22"/>
          <w:szCs w:val="22"/>
        </w:rPr>
        <w:t xml:space="preserve">.  Whist the </w:t>
      </w:r>
      <w:proofErr w:type="spellStart"/>
      <w:r>
        <w:rPr>
          <w:rFonts w:ascii="Arial" w:hAnsi="Arial" w:cs="Arial"/>
          <w:sz w:val="22"/>
          <w:szCs w:val="22"/>
        </w:rPr>
        <w:t>Wimslow</w:t>
      </w:r>
      <w:proofErr w:type="spellEnd"/>
      <w:r>
        <w:rPr>
          <w:rFonts w:ascii="Arial" w:hAnsi="Arial" w:cs="Arial"/>
          <w:sz w:val="22"/>
          <w:szCs w:val="22"/>
        </w:rPr>
        <w:t xml:space="preserve"> scheme offered a higher BCR, discussions with Cheshire East Council indicated that the Crewe scheme was a higher local priority and was not as </w:t>
      </w:r>
      <w:proofErr w:type="spellStart"/>
      <w:r>
        <w:rPr>
          <w:rFonts w:ascii="Arial" w:hAnsi="Arial" w:cs="Arial"/>
          <w:sz w:val="22"/>
          <w:szCs w:val="22"/>
        </w:rPr>
        <w:t>scaleable</w:t>
      </w:r>
      <w:proofErr w:type="spellEnd"/>
      <w:r>
        <w:rPr>
          <w:rFonts w:ascii="Arial" w:hAnsi="Arial" w:cs="Arial"/>
          <w:sz w:val="22"/>
          <w:szCs w:val="22"/>
        </w:rPr>
        <w:t xml:space="preserve"> as the Wilmslow scheme. </w:t>
      </w:r>
      <w:r w:rsidR="00E0506C">
        <w:rPr>
          <w:rFonts w:ascii="Arial" w:hAnsi="Arial" w:cs="Arial"/>
          <w:sz w:val="22"/>
          <w:szCs w:val="22"/>
        </w:rPr>
        <w:t xml:space="preserve"> </w:t>
      </w:r>
      <w:r>
        <w:rPr>
          <w:rFonts w:ascii="Arial" w:hAnsi="Arial" w:cs="Arial"/>
          <w:sz w:val="22"/>
          <w:szCs w:val="22"/>
        </w:rPr>
        <w:t>As a result of these discussions</w:t>
      </w:r>
      <w:r w:rsidR="00E0506C">
        <w:rPr>
          <w:rFonts w:ascii="Arial" w:hAnsi="Arial" w:cs="Arial"/>
          <w:sz w:val="22"/>
          <w:szCs w:val="22"/>
        </w:rPr>
        <w:t xml:space="preserve"> </w:t>
      </w:r>
      <w:r w:rsidRPr="00D4665E">
        <w:rPr>
          <w:rFonts w:ascii="Arial" w:hAnsi="Arial" w:cs="Arial"/>
          <w:sz w:val="22"/>
          <w:szCs w:val="22"/>
        </w:rPr>
        <w:t>the following distribution of the funds is proposed:</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02"/>
        <w:gridCol w:w="2961"/>
        <w:gridCol w:w="1082"/>
        <w:gridCol w:w="1330"/>
      </w:tblGrid>
      <w:tr w:rsidR="001B761F" w:rsidRPr="00131909" w14:paraId="6C4CA62B" w14:textId="77777777" w:rsidTr="00353F3B">
        <w:tc>
          <w:tcPr>
            <w:tcW w:w="3102" w:type="dxa"/>
          </w:tcPr>
          <w:p w14:paraId="7B22B2C5" w14:textId="77777777" w:rsidR="001B761F" w:rsidRPr="00131909" w:rsidRDefault="001B761F" w:rsidP="00353F3B">
            <w:pPr>
              <w:pStyle w:val="NoSpacing"/>
              <w:spacing w:after="120"/>
              <w:rPr>
                <w:rFonts w:ascii="Arial" w:hAnsi="Arial" w:cs="Arial"/>
                <w:b/>
                <w:sz w:val="22"/>
                <w:szCs w:val="22"/>
              </w:rPr>
            </w:pPr>
            <w:r w:rsidRPr="00131909">
              <w:rPr>
                <w:rFonts w:ascii="Arial" w:hAnsi="Arial" w:cs="Arial"/>
                <w:b/>
                <w:sz w:val="22"/>
                <w:szCs w:val="22"/>
              </w:rPr>
              <w:t>Scheme Name</w:t>
            </w:r>
          </w:p>
        </w:tc>
        <w:tc>
          <w:tcPr>
            <w:tcW w:w="2961" w:type="dxa"/>
          </w:tcPr>
          <w:p w14:paraId="7D313157" w14:textId="77777777" w:rsidR="001B761F" w:rsidRPr="00131909" w:rsidRDefault="001B761F" w:rsidP="00353F3B">
            <w:pPr>
              <w:pStyle w:val="NoSpacing"/>
              <w:spacing w:after="120"/>
              <w:rPr>
                <w:rFonts w:ascii="Arial" w:hAnsi="Arial" w:cs="Arial"/>
                <w:b/>
                <w:sz w:val="22"/>
                <w:szCs w:val="22"/>
              </w:rPr>
            </w:pPr>
            <w:r w:rsidRPr="00131909">
              <w:rPr>
                <w:rFonts w:ascii="Arial" w:hAnsi="Arial" w:cs="Arial"/>
                <w:b/>
                <w:sz w:val="22"/>
                <w:szCs w:val="22"/>
              </w:rPr>
              <w:t>Promoting Authority</w:t>
            </w:r>
          </w:p>
        </w:tc>
        <w:tc>
          <w:tcPr>
            <w:tcW w:w="1082" w:type="dxa"/>
          </w:tcPr>
          <w:p w14:paraId="633EC785" w14:textId="77777777" w:rsidR="001B761F" w:rsidRDefault="001B761F" w:rsidP="00353F3B">
            <w:pPr>
              <w:pStyle w:val="NoSpacing"/>
              <w:spacing w:after="120"/>
              <w:rPr>
                <w:rFonts w:ascii="Arial" w:hAnsi="Arial" w:cs="Arial"/>
                <w:b/>
                <w:sz w:val="22"/>
                <w:szCs w:val="22"/>
              </w:rPr>
            </w:pPr>
            <w:r>
              <w:rPr>
                <w:rFonts w:ascii="Arial" w:hAnsi="Arial" w:cs="Arial"/>
                <w:b/>
                <w:sz w:val="22"/>
                <w:szCs w:val="22"/>
              </w:rPr>
              <w:t>Bid</w:t>
            </w:r>
          </w:p>
          <w:p w14:paraId="7A792F53" w14:textId="77777777" w:rsidR="001B761F" w:rsidRPr="00131909" w:rsidRDefault="001B761F" w:rsidP="00353F3B">
            <w:pPr>
              <w:pStyle w:val="NoSpacing"/>
              <w:spacing w:after="120"/>
              <w:rPr>
                <w:rFonts w:ascii="Arial" w:hAnsi="Arial" w:cs="Arial"/>
                <w:b/>
                <w:sz w:val="22"/>
                <w:szCs w:val="22"/>
              </w:rPr>
            </w:pPr>
            <w:r w:rsidRPr="00131909">
              <w:rPr>
                <w:rFonts w:ascii="Arial" w:hAnsi="Arial" w:cs="Arial"/>
                <w:b/>
                <w:sz w:val="22"/>
                <w:szCs w:val="22"/>
              </w:rPr>
              <w:t>(£’000s)</w:t>
            </w:r>
          </w:p>
        </w:tc>
        <w:tc>
          <w:tcPr>
            <w:tcW w:w="1330" w:type="dxa"/>
          </w:tcPr>
          <w:p w14:paraId="16198694" w14:textId="77777777" w:rsidR="001B761F" w:rsidRPr="00131909" w:rsidRDefault="001B761F" w:rsidP="00353F3B">
            <w:pPr>
              <w:pStyle w:val="NoSpacing"/>
              <w:spacing w:after="120"/>
              <w:jc w:val="right"/>
              <w:rPr>
                <w:rFonts w:ascii="Arial" w:hAnsi="Arial" w:cs="Arial"/>
                <w:b/>
                <w:sz w:val="22"/>
                <w:szCs w:val="22"/>
              </w:rPr>
            </w:pPr>
            <w:r w:rsidRPr="00131909">
              <w:rPr>
                <w:rFonts w:ascii="Arial" w:hAnsi="Arial" w:cs="Arial"/>
                <w:b/>
                <w:sz w:val="22"/>
                <w:szCs w:val="22"/>
              </w:rPr>
              <w:t>Proposed Allocation (£’000s)</w:t>
            </w:r>
          </w:p>
        </w:tc>
      </w:tr>
      <w:tr w:rsidR="001B761F" w:rsidRPr="00131909" w14:paraId="7DCE12C5" w14:textId="77777777" w:rsidTr="00353F3B">
        <w:tc>
          <w:tcPr>
            <w:tcW w:w="3102" w:type="dxa"/>
          </w:tcPr>
          <w:p w14:paraId="538FA79F" w14:textId="77777777" w:rsidR="001B761F" w:rsidRPr="00131909" w:rsidRDefault="001B761F" w:rsidP="00353F3B">
            <w:pPr>
              <w:pStyle w:val="NoSpacing"/>
              <w:spacing w:after="60"/>
              <w:rPr>
                <w:rFonts w:ascii="Arial" w:hAnsi="Arial" w:cs="Arial"/>
                <w:sz w:val="22"/>
                <w:szCs w:val="22"/>
                <w:u w:val="single"/>
              </w:rPr>
            </w:pPr>
            <w:r w:rsidRPr="000D1942">
              <w:rPr>
                <w:rFonts w:ascii="Arial" w:hAnsi="Arial" w:cs="Arial"/>
                <w:sz w:val="22"/>
                <w:szCs w:val="22"/>
              </w:rPr>
              <w:t>Wilmslow Strategic Cycle and Walking Route</w:t>
            </w:r>
            <w:r w:rsidRPr="000D1942">
              <w:rPr>
                <w:rFonts w:ascii="Arial" w:hAnsi="Arial" w:cs="Arial"/>
                <w:sz w:val="22"/>
                <w:szCs w:val="22"/>
              </w:rPr>
              <w:tab/>
            </w:r>
          </w:p>
        </w:tc>
        <w:tc>
          <w:tcPr>
            <w:tcW w:w="2961" w:type="dxa"/>
          </w:tcPr>
          <w:p w14:paraId="491E5D19"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Cheshire East Council</w:t>
            </w:r>
          </w:p>
        </w:tc>
        <w:tc>
          <w:tcPr>
            <w:tcW w:w="1082" w:type="dxa"/>
          </w:tcPr>
          <w:p w14:paraId="2CE655DC" w14:textId="77777777" w:rsidR="001B761F" w:rsidRPr="00131909" w:rsidRDefault="001B761F" w:rsidP="00353F3B">
            <w:pPr>
              <w:pStyle w:val="NoSpacing"/>
              <w:spacing w:after="60"/>
              <w:jc w:val="right"/>
              <w:rPr>
                <w:rFonts w:ascii="Arial" w:hAnsi="Arial" w:cs="Arial"/>
                <w:sz w:val="22"/>
                <w:szCs w:val="22"/>
              </w:rPr>
            </w:pPr>
            <w:r>
              <w:rPr>
                <w:rFonts w:ascii="Arial" w:hAnsi="Arial" w:cs="Arial"/>
                <w:sz w:val="22"/>
                <w:szCs w:val="22"/>
              </w:rPr>
              <w:t>850</w:t>
            </w:r>
          </w:p>
        </w:tc>
        <w:tc>
          <w:tcPr>
            <w:tcW w:w="1330" w:type="dxa"/>
          </w:tcPr>
          <w:p w14:paraId="1B78A13B" w14:textId="77777777" w:rsidR="001B761F" w:rsidRPr="00131909" w:rsidRDefault="001B761F" w:rsidP="00353F3B">
            <w:pPr>
              <w:pStyle w:val="NoSpacing"/>
              <w:spacing w:after="60"/>
              <w:jc w:val="right"/>
              <w:rPr>
                <w:rFonts w:ascii="Arial" w:hAnsi="Arial" w:cs="Arial"/>
                <w:sz w:val="22"/>
                <w:szCs w:val="22"/>
                <w:u w:val="single"/>
              </w:rPr>
            </w:pPr>
            <w:r w:rsidRPr="00131909">
              <w:rPr>
                <w:rFonts w:ascii="Arial" w:hAnsi="Arial" w:cs="Arial"/>
                <w:sz w:val="22"/>
                <w:szCs w:val="22"/>
              </w:rPr>
              <w:t>500</w:t>
            </w:r>
          </w:p>
        </w:tc>
      </w:tr>
      <w:tr w:rsidR="001B761F" w:rsidRPr="00131909" w14:paraId="317E9959" w14:textId="77777777" w:rsidTr="00353F3B">
        <w:tc>
          <w:tcPr>
            <w:tcW w:w="3102" w:type="dxa"/>
          </w:tcPr>
          <w:p w14:paraId="65B31490" w14:textId="77777777" w:rsidR="001B761F" w:rsidRPr="00131909" w:rsidRDefault="001B761F" w:rsidP="00353F3B">
            <w:pPr>
              <w:pStyle w:val="NoSpacing"/>
              <w:spacing w:after="60"/>
              <w:rPr>
                <w:rFonts w:ascii="Arial" w:hAnsi="Arial" w:cs="Arial"/>
                <w:sz w:val="22"/>
                <w:szCs w:val="22"/>
              </w:rPr>
            </w:pPr>
            <w:r w:rsidRPr="000D1942">
              <w:rPr>
                <w:rFonts w:ascii="Arial" w:hAnsi="Arial" w:cs="Arial"/>
                <w:sz w:val="22"/>
                <w:szCs w:val="22"/>
              </w:rPr>
              <w:t>Northwest Crewe Cycling and Walking Link</w:t>
            </w:r>
            <w:r w:rsidRPr="000D1942">
              <w:rPr>
                <w:rFonts w:ascii="Arial" w:hAnsi="Arial" w:cs="Arial"/>
                <w:sz w:val="22"/>
                <w:szCs w:val="22"/>
              </w:rPr>
              <w:tab/>
            </w:r>
          </w:p>
        </w:tc>
        <w:tc>
          <w:tcPr>
            <w:tcW w:w="2961" w:type="dxa"/>
          </w:tcPr>
          <w:p w14:paraId="2228C20A"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Cheshire East Council</w:t>
            </w:r>
          </w:p>
        </w:tc>
        <w:tc>
          <w:tcPr>
            <w:tcW w:w="1082" w:type="dxa"/>
          </w:tcPr>
          <w:p w14:paraId="10A8B86D" w14:textId="77777777" w:rsidR="001B761F" w:rsidRPr="00131909" w:rsidRDefault="001B761F" w:rsidP="00353F3B">
            <w:pPr>
              <w:pStyle w:val="NoSpacing"/>
              <w:spacing w:after="60"/>
              <w:jc w:val="right"/>
              <w:rPr>
                <w:rFonts w:ascii="Arial" w:hAnsi="Arial" w:cs="Arial"/>
                <w:sz w:val="22"/>
                <w:szCs w:val="22"/>
              </w:rPr>
            </w:pPr>
            <w:r>
              <w:rPr>
                <w:rFonts w:ascii="Arial" w:hAnsi="Arial" w:cs="Arial"/>
                <w:sz w:val="22"/>
                <w:szCs w:val="22"/>
              </w:rPr>
              <w:t>1200</w:t>
            </w:r>
          </w:p>
        </w:tc>
        <w:tc>
          <w:tcPr>
            <w:tcW w:w="1330" w:type="dxa"/>
          </w:tcPr>
          <w:p w14:paraId="33B7E951" w14:textId="77777777" w:rsidR="001B761F" w:rsidRPr="00131909" w:rsidRDefault="001B761F" w:rsidP="00353F3B">
            <w:pPr>
              <w:pStyle w:val="NoSpacing"/>
              <w:spacing w:after="60"/>
              <w:jc w:val="right"/>
              <w:rPr>
                <w:rFonts w:ascii="Arial" w:hAnsi="Arial" w:cs="Arial"/>
                <w:sz w:val="22"/>
                <w:szCs w:val="22"/>
              </w:rPr>
            </w:pPr>
            <w:r w:rsidRPr="00131909">
              <w:rPr>
                <w:rFonts w:ascii="Arial" w:hAnsi="Arial" w:cs="Arial"/>
                <w:sz w:val="22"/>
                <w:szCs w:val="22"/>
              </w:rPr>
              <w:t>1100</w:t>
            </w:r>
          </w:p>
        </w:tc>
      </w:tr>
      <w:tr w:rsidR="001B761F" w:rsidRPr="00131909" w14:paraId="15710418" w14:textId="77777777" w:rsidTr="00353F3B">
        <w:tc>
          <w:tcPr>
            <w:tcW w:w="3102" w:type="dxa"/>
          </w:tcPr>
          <w:p w14:paraId="60CDCBC3" w14:textId="77777777" w:rsidR="001B761F" w:rsidRPr="00131909" w:rsidRDefault="001B761F" w:rsidP="00353F3B">
            <w:pPr>
              <w:pStyle w:val="NoSpacing"/>
              <w:spacing w:after="60"/>
              <w:rPr>
                <w:rFonts w:ascii="Arial" w:hAnsi="Arial" w:cs="Arial"/>
                <w:sz w:val="22"/>
                <w:szCs w:val="22"/>
                <w:u w:val="single"/>
              </w:rPr>
            </w:pPr>
            <w:r w:rsidRPr="00131909">
              <w:rPr>
                <w:rFonts w:ascii="Arial" w:hAnsi="Arial" w:cs="Arial"/>
                <w:sz w:val="22"/>
                <w:szCs w:val="22"/>
              </w:rPr>
              <w:t xml:space="preserve">A5117 Cycle Route, Ellesmere Port </w:t>
            </w:r>
          </w:p>
        </w:tc>
        <w:tc>
          <w:tcPr>
            <w:tcW w:w="2961" w:type="dxa"/>
          </w:tcPr>
          <w:p w14:paraId="520EEF46"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Cheshire West &amp; Chester Council</w:t>
            </w:r>
          </w:p>
        </w:tc>
        <w:tc>
          <w:tcPr>
            <w:tcW w:w="1082" w:type="dxa"/>
          </w:tcPr>
          <w:p w14:paraId="21FE3ECD" w14:textId="77777777" w:rsidR="001B761F" w:rsidRPr="00131909" w:rsidRDefault="001B761F" w:rsidP="00353F3B">
            <w:pPr>
              <w:pStyle w:val="NoSpacing"/>
              <w:spacing w:after="60"/>
              <w:jc w:val="right"/>
              <w:rPr>
                <w:rFonts w:ascii="Arial" w:hAnsi="Arial" w:cs="Arial"/>
                <w:sz w:val="22"/>
                <w:szCs w:val="22"/>
              </w:rPr>
            </w:pPr>
            <w:r>
              <w:rPr>
                <w:rFonts w:ascii="Arial" w:hAnsi="Arial" w:cs="Arial"/>
                <w:sz w:val="22"/>
                <w:szCs w:val="22"/>
              </w:rPr>
              <w:t>380</w:t>
            </w:r>
          </w:p>
        </w:tc>
        <w:tc>
          <w:tcPr>
            <w:tcW w:w="1330" w:type="dxa"/>
          </w:tcPr>
          <w:p w14:paraId="31BC074E" w14:textId="77777777" w:rsidR="001B761F" w:rsidRPr="00131909" w:rsidRDefault="001B761F" w:rsidP="00353F3B">
            <w:pPr>
              <w:pStyle w:val="NoSpacing"/>
              <w:spacing w:after="60"/>
              <w:jc w:val="right"/>
              <w:rPr>
                <w:rFonts w:ascii="Arial" w:hAnsi="Arial" w:cs="Arial"/>
                <w:sz w:val="22"/>
                <w:szCs w:val="22"/>
                <w:u w:val="single"/>
              </w:rPr>
            </w:pPr>
            <w:r w:rsidRPr="00131909">
              <w:rPr>
                <w:rFonts w:ascii="Arial" w:hAnsi="Arial" w:cs="Arial"/>
                <w:sz w:val="22"/>
                <w:szCs w:val="22"/>
              </w:rPr>
              <w:t>380</w:t>
            </w:r>
          </w:p>
        </w:tc>
      </w:tr>
      <w:tr w:rsidR="001B761F" w:rsidRPr="00131909" w14:paraId="191C0500" w14:textId="77777777" w:rsidTr="00353F3B">
        <w:tc>
          <w:tcPr>
            <w:tcW w:w="3102" w:type="dxa"/>
          </w:tcPr>
          <w:p w14:paraId="2BB6CE82" w14:textId="77777777" w:rsidR="001B761F" w:rsidRPr="00131909" w:rsidRDefault="001B761F" w:rsidP="00353F3B">
            <w:pPr>
              <w:pStyle w:val="NoSpacing"/>
              <w:spacing w:after="60"/>
              <w:rPr>
                <w:rFonts w:ascii="Arial" w:hAnsi="Arial" w:cs="Arial"/>
                <w:sz w:val="22"/>
                <w:szCs w:val="22"/>
                <w:u w:val="single"/>
              </w:rPr>
            </w:pPr>
            <w:r w:rsidRPr="00131909">
              <w:rPr>
                <w:rFonts w:ascii="Arial" w:hAnsi="Arial" w:cs="Arial"/>
                <w:sz w:val="22"/>
                <w:szCs w:val="22"/>
              </w:rPr>
              <w:t>Sutton Way Boulevard, Ellesmere Port</w:t>
            </w:r>
          </w:p>
        </w:tc>
        <w:tc>
          <w:tcPr>
            <w:tcW w:w="2961" w:type="dxa"/>
          </w:tcPr>
          <w:p w14:paraId="1F1D1723"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Cheshire West &amp; Chester Council</w:t>
            </w:r>
          </w:p>
        </w:tc>
        <w:tc>
          <w:tcPr>
            <w:tcW w:w="1082" w:type="dxa"/>
          </w:tcPr>
          <w:p w14:paraId="3A0D5F40" w14:textId="77777777" w:rsidR="001B761F" w:rsidRPr="00131909" w:rsidRDefault="001B761F" w:rsidP="00353F3B">
            <w:pPr>
              <w:pStyle w:val="NoSpacing"/>
              <w:spacing w:after="60"/>
              <w:jc w:val="right"/>
              <w:rPr>
                <w:rFonts w:ascii="Arial" w:hAnsi="Arial" w:cs="Arial"/>
                <w:sz w:val="22"/>
                <w:szCs w:val="22"/>
              </w:rPr>
            </w:pPr>
            <w:r>
              <w:rPr>
                <w:rFonts w:ascii="Arial" w:hAnsi="Arial" w:cs="Arial"/>
                <w:sz w:val="22"/>
                <w:szCs w:val="22"/>
              </w:rPr>
              <w:t>640</w:t>
            </w:r>
          </w:p>
        </w:tc>
        <w:tc>
          <w:tcPr>
            <w:tcW w:w="1330" w:type="dxa"/>
          </w:tcPr>
          <w:p w14:paraId="2E0BE34E" w14:textId="77777777" w:rsidR="001B761F" w:rsidRPr="00131909" w:rsidRDefault="001B761F" w:rsidP="00353F3B">
            <w:pPr>
              <w:pStyle w:val="NoSpacing"/>
              <w:spacing w:after="60"/>
              <w:jc w:val="right"/>
              <w:rPr>
                <w:rFonts w:ascii="Arial" w:hAnsi="Arial" w:cs="Arial"/>
                <w:sz w:val="22"/>
                <w:szCs w:val="22"/>
                <w:u w:val="single"/>
              </w:rPr>
            </w:pPr>
            <w:r w:rsidRPr="00131909">
              <w:rPr>
                <w:rFonts w:ascii="Arial" w:hAnsi="Arial" w:cs="Arial"/>
                <w:sz w:val="22"/>
                <w:szCs w:val="22"/>
              </w:rPr>
              <w:t>640</w:t>
            </w:r>
          </w:p>
        </w:tc>
      </w:tr>
      <w:tr w:rsidR="001B761F" w:rsidRPr="00131909" w14:paraId="531E4BD7" w14:textId="77777777" w:rsidTr="00353F3B">
        <w:tc>
          <w:tcPr>
            <w:tcW w:w="3102" w:type="dxa"/>
          </w:tcPr>
          <w:p w14:paraId="62F8866C"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 xml:space="preserve">Station View and Canal Towpath Enhancement </w:t>
            </w:r>
          </w:p>
        </w:tc>
        <w:tc>
          <w:tcPr>
            <w:tcW w:w="2961" w:type="dxa"/>
          </w:tcPr>
          <w:p w14:paraId="7349CAA0"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Cheshire West &amp; Chester Council</w:t>
            </w:r>
          </w:p>
        </w:tc>
        <w:tc>
          <w:tcPr>
            <w:tcW w:w="1082" w:type="dxa"/>
          </w:tcPr>
          <w:p w14:paraId="70EF63D1" w14:textId="77777777" w:rsidR="001B761F" w:rsidRPr="00131909" w:rsidRDefault="001B761F" w:rsidP="00353F3B">
            <w:pPr>
              <w:pStyle w:val="NoSpacing"/>
              <w:spacing w:after="60"/>
              <w:jc w:val="right"/>
              <w:rPr>
                <w:rFonts w:ascii="Arial" w:hAnsi="Arial" w:cs="Arial"/>
                <w:sz w:val="22"/>
                <w:szCs w:val="22"/>
              </w:rPr>
            </w:pPr>
            <w:r>
              <w:rPr>
                <w:rFonts w:ascii="Arial" w:hAnsi="Arial" w:cs="Arial"/>
                <w:sz w:val="22"/>
                <w:szCs w:val="22"/>
              </w:rPr>
              <w:t>2739</w:t>
            </w:r>
          </w:p>
        </w:tc>
        <w:tc>
          <w:tcPr>
            <w:tcW w:w="1330" w:type="dxa"/>
          </w:tcPr>
          <w:p w14:paraId="2AD54755" w14:textId="77777777" w:rsidR="001B761F" w:rsidRPr="00131909" w:rsidRDefault="001B761F" w:rsidP="00353F3B">
            <w:pPr>
              <w:pStyle w:val="NoSpacing"/>
              <w:spacing w:after="60"/>
              <w:jc w:val="right"/>
              <w:rPr>
                <w:rFonts w:ascii="Arial" w:hAnsi="Arial" w:cs="Arial"/>
                <w:sz w:val="22"/>
                <w:szCs w:val="22"/>
              </w:rPr>
            </w:pPr>
            <w:r w:rsidRPr="00131909">
              <w:rPr>
                <w:rFonts w:ascii="Arial" w:hAnsi="Arial" w:cs="Arial"/>
                <w:sz w:val="22"/>
                <w:szCs w:val="22"/>
              </w:rPr>
              <w:t>680</w:t>
            </w:r>
          </w:p>
        </w:tc>
      </w:tr>
      <w:tr w:rsidR="001B761F" w:rsidRPr="00131909" w14:paraId="2EAB3BAB" w14:textId="77777777" w:rsidTr="00353F3B">
        <w:tc>
          <w:tcPr>
            <w:tcW w:w="3102" w:type="dxa"/>
          </w:tcPr>
          <w:p w14:paraId="4C504747" w14:textId="77777777" w:rsidR="001B761F" w:rsidRPr="00131909" w:rsidRDefault="001B761F" w:rsidP="00353F3B">
            <w:pPr>
              <w:pStyle w:val="NoSpacing"/>
              <w:spacing w:after="60"/>
              <w:rPr>
                <w:rFonts w:ascii="Arial" w:hAnsi="Arial" w:cs="Arial"/>
                <w:sz w:val="22"/>
                <w:szCs w:val="22"/>
                <w:u w:val="single"/>
              </w:rPr>
            </w:pPr>
            <w:r w:rsidRPr="00131909">
              <w:rPr>
                <w:rFonts w:ascii="Arial" w:hAnsi="Arial" w:cs="Arial"/>
                <w:sz w:val="22"/>
                <w:szCs w:val="22"/>
              </w:rPr>
              <w:t xml:space="preserve">Trans Pennine Trail upgrade </w:t>
            </w:r>
            <w:r w:rsidRPr="00131909">
              <w:rPr>
                <w:rFonts w:ascii="Arial" w:hAnsi="Arial" w:cs="Arial"/>
                <w:sz w:val="22"/>
                <w:szCs w:val="22"/>
              </w:rPr>
              <w:tab/>
              <w:t xml:space="preserve"> </w:t>
            </w:r>
          </w:p>
        </w:tc>
        <w:tc>
          <w:tcPr>
            <w:tcW w:w="2961" w:type="dxa"/>
          </w:tcPr>
          <w:p w14:paraId="3ECB5645"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Warrington Council</w:t>
            </w:r>
          </w:p>
        </w:tc>
        <w:tc>
          <w:tcPr>
            <w:tcW w:w="1082" w:type="dxa"/>
          </w:tcPr>
          <w:p w14:paraId="19B968FD" w14:textId="77777777" w:rsidR="001B761F" w:rsidRPr="00131909" w:rsidRDefault="001B761F" w:rsidP="00353F3B">
            <w:pPr>
              <w:pStyle w:val="NoSpacing"/>
              <w:spacing w:after="60"/>
              <w:jc w:val="right"/>
              <w:rPr>
                <w:rFonts w:ascii="Arial" w:hAnsi="Arial" w:cs="Arial"/>
                <w:sz w:val="22"/>
                <w:szCs w:val="22"/>
              </w:rPr>
            </w:pPr>
            <w:r>
              <w:rPr>
                <w:rFonts w:ascii="Arial" w:hAnsi="Arial" w:cs="Arial"/>
                <w:sz w:val="22"/>
                <w:szCs w:val="22"/>
              </w:rPr>
              <w:t>600</w:t>
            </w:r>
          </w:p>
        </w:tc>
        <w:tc>
          <w:tcPr>
            <w:tcW w:w="1330" w:type="dxa"/>
          </w:tcPr>
          <w:p w14:paraId="78FD762B" w14:textId="77777777" w:rsidR="001B761F" w:rsidRPr="00131909" w:rsidRDefault="001B761F" w:rsidP="00353F3B">
            <w:pPr>
              <w:pStyle w:val="NoSpacing"/>
              <w:spacing w:after="60"/>
              <w:jc w:val="right"/>
              <w:rPr>
                <w:rFonts w:ascii="Arial" w:hAnsi="Arial" w:cs="Arial"/>
                <w:sz w:val="22"/>
                <w:szCs w:val="22"/>
                <w:u w:val="single"/>
              </w:rPr>
            </w:pPr>
            <w:r w:rsidRPr="00131909">
              <w:rPr>
                <w:rFonts w:ascii="Arial" w:hAnsi="Arial" w:cs="Arial"/>
                <w:sz w:val="22"/>
                <w:szCs w:val="22"/>
              </w:rPr>
              <w:t>600</w:t>
            </w:r>
          </w:p>
        </w:tc>
      </w:tr>
      <w:tr w:rsidR="001B761F" w:rsidRPr="00131909" w14:paraId="21898184" w14:textId="77777777" w:rsidTr="00353F3B">
        <w:tc>
          <w:tcPr>
            <w:tcW w:w="3102" w:type="dxa"/>
          </w:tcPr>
          <w:p w14:paraId="7A1CE61C"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 xml:space="preserve">Chester Road promenade route </w:t>
            </w:r>
          </w:p>
        </w:tc>
        <w:tc>
          <w:tcPr>
            <w:tcW w:w="2961" w:type="dxa"/>
          </w:tcPr>
          <w:p w14:paraId="41B4BBF4"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Warrington Council</w:t>
            </w:r>
          </w:p>
        </w:tc>
        <w:tc>
          <w:tcPr>
            <w:tcW w:w="1082" w:type="dxa"/>
          </w:tcPr>
          <w:p w14:paraId="4D9B5C2D" w14:textId="77777777" w:rsidR="001B761F" w:rsidRPr="00131909" w:rsidRDefault="001B761F" w:rsidP="00353F3B">
            <w:pPr>
              <w:pStyle w:val="NoSpacing"/>
              <w:spacing w:after="60"/>
              <w:jc w:val="right"/>
              <w:rPr>
                <w:rFonts w:ascii="Arial" w:hAnsi="Arial" w:cs="Arial"/>
                <w:sz w:val="22"/>
                <w:szCs w:val="22"/>
              </w:rPr>
            </w:pPr>
            <w:r>
              <w:rPr>
                <w:rFonts w:ascii="Arial" w:hAnsi="Arial" w:cs="Arial"/>
                <w:sz w:val="22"/>
                <w:szCs w:val="22"/>
              </w:rPr>
              <w:t>600</w:t>
            </w:r>
          </w:p>
        </w:tc>
        <w:tc>
          <w:tcPr>
            <w:tcW w:w="1330" w:type="dxa"/>
          </w:tcPr>
          <w:p w14:paraId="5C2C10B3" w14:textId="77777777" w:rsidR="001B761F" w:rsidRPr="00131909" w:rsidRDefault="001B761F" w:rsidP="00353F3B">
            <w:pPr>
              <w:pStyle w:val="NoSpacing"/>
              <w:spacing w:after="60"/>
              <w:jc w:val="right"/>
              <w:rPr>
                <w:rFonts w:ascii="Arial" w:hAnsi="Arial" w:cs="Arial"/>
                <w:sz w:val="22"/>
                <w:szCs w:val="22"/>
              </w:rPr>
            </w:pPr>
            <w:r w:rsidRPr="00131909">
              <w:rPr>
                <w:rFonts w:ascii="Arial" w:hAnsi="Arial" w:cs="Arial"/>
                <w:sz w:val="22"/>
                <w:szCs w:val="22"/>
              </w:rPr>
              <w:t>600</w:t>
            </w:r>
          </w:p>
        </w:tc>
      </w:tr>
      <w:tr w:rsidR="001B761F" w:rsidRPr="00131909" w14:paraId="26FFCABB" w14:textId="77777777" w:rsidTr="00353F3B">
        <w:tc>
          <w:tcPr>
            <w:tcW w:w="3102" w:type="dxa"/>
          </w:tcPr>
          <w:p w14:paraId="333A5A4E" w14:textId="77777777" w:rsidR="001B761F" w:rsidRPr="00131909" w:rsidRDefault="001B761F" w:rsidP="00353F3B">
            <w:pPr>
              <w:pStyle w:val="NoSpacing"/>
              <w:spacing w:after="60"/>
              <w:rPr>
                <w:rFonts w:ascii="Arial" w:hAnsi="Arial" w:cs="Arial"/>
                <w:sz w:val="22"/>
                <w:szCs w:val="22"/>
                <w:u w:val="single"/>
              </w:rPr>
            </w:pPr>
            <w:proofErr w:type="spellStart"/>
            <w:r w:rsidRPr="00131909">
              <w:rPr>
                <w:rFonts w:ascii="Arial" w:hAnsi="Arial" w:cs="Arial"/>
                <w:sz w:val="22"/>
                <w:szCs w:val="22"/>
              </w:rPr>
              <w:t>Burtonwood</w:t>
            </w:r>
            <w:proofErr w:type="spellEnd"/>
            <w:r w:rsidRPr="00131909">
              <w:rPr>
                <w:rFonts w:ascii="Arial" w:hAnsi="Arial" w:cs="Arial"/>
                <w:sz w:val="22"/>
                <w:szCs w:val="22"/>
              </w:rPr>
              <w:t xml:space="preserve"> to Omega shared use path </w:t>
            </w:r>
          </w:p>
        </w:tc>
        <w:tc>
          <w:tcPr>
            <w:tcW w:w="2961" w:type="dxa"/>
          </w:tcPr>
          <w:p w14:paraId="60A72266" w14:textId="77777777" w:rsidR="001B761F" w:rsidRPr="00131909" w:rsidRDefault="001B761F" w:rsidP="00353F3B">
            <w:pPr>
              <w:pStyle w:val="NoSpacing"/>
              <w:spacing w:after="60"/>
              <w:rPr>
                <w:rFonts w:ascii="Arial" w:hAnsi="Arial" w:cs="Arial"/>
                <w:sz w:val="22"/>
                <w:szCs w:val="22"/>
              </w:rPr>
            </w:pPr>
            <w:r w:rsidRPr="00131909">
              <w:rPr>
                <w:rFonts w:ascii="Arial" w:hAnsi="Arial" w:cs="Arial"/>
                <w:sz w:val="22"/>
                <w:szCs w:val="22"/>
              </w:rPr>
              <w:t>Warrington Council</w:t>
            </w:r>
          </w:p>
        </w:tc>
        <w:tc>
          <w:tcPr>
            <w:tcW w:w="1082" w:type="dxa"/>
          </w:tcPr>
          <w:p w14:paraId="06DF8883" w14:textId="77777777" w:rsidR="001B761F" w:rsidRPr="00131909" w:rsidRDefault="001B761F" w:rsidP="00353F3B">
            <w:pPr>
              <w:pStyle w:val="NoSpacing"/>
              <w:spacing w:after="60"/>
              <w:jc w:val="right"/>
              <w:rPr>
                <w:rFonts w:ascii="Arial" w:hAnsi="Arial" w:cs="Arial"/>
                <w:sz w:val="22"/>
                <w:szCs w:val="22"/>
              </w:rPr>
            </w:pPr>
            <w:r>
              <w:rPr>
                <w:rFonts w:ascii="Arial" w:hAnsi="Arial" w:cs="Arial"/>
                <w:sz w:val="22"/>
                <w:szCs w:val="22"/>
              </w:rPr>
              <w:t>500</w:t>
            </w:r>
          </w:p>
        </w:tc>
        <w:tc>
          <w:tcPr>
            <w:tcW w:w="1330" w:type="dxa"/>
          </w:tcPr>
          <w:p w14:paraId="4884BAD1" w14:textId="77777777" w:rsidR="001B761F" w:rsidRPr="00131909" w:rsidRDefault="001B761F" w:rsidP="00353F3B">
            <w:pPr>
              <w:pStyle w:val="NoSpacing"/>
              <w:spacing w:after="60"/>
              <w:jc w:val="right"/>
              <w:rPr>
                <w:rFonts w:ascii="Arial" w:hAnsi="Arial" w:cs="Arial"/>
                <w:sz w:val="22"/>
                <w:szCs w:val="22"/>
                <w:u w:val="single"/>
              </w:rPr>
            </w:pPr>
            <w:r w:rsidRPr="00131909">
              <w:rPr>
                <w:rFonts w:ascii="Arial" w:hAnsi="Arial" w:cs="Arial"/>
                <w:sz w:val="22"/>
                <w:szCs w:val="22"/>
              </w:rPr>
              <w:t>500</w:t>
            </w:r>
          </w:p>
        </w:tc>
      </w:tr>
      <w:tr w:rsidR="001B761F" w:rsidRPr="00131909" w14:paraId="73CDCA45" w14:textId="77777777" w:rsidTr="00353F3B">
        <w:tc>
          <w:tcPr>
            <w:tcW w:w="3102" w:type="dxa"/>
          </w:tcPr>
          <w:p w14:paraId="3E112381" w14:textId="77777777" w:rsidR="001B761F" w:rsidRPr="00131909" w:rsidRDefault="001B761F" w:rsidP="00353F3B">
            <w:pPr>
              <w:pStyle w:val="NoSpacing"/>
              <w:spacing w:after="120"/>
              <w:rPr>
                <w:rFonts w:ascii="Arial" w:hAnsi="Arial" w:cs="Arial"/>
                <w:sz w:val="22"/>
                <w:szCs w:val="22"/>
                <w:u w:val="single"/>
              </w:rPr>
            </w:pPr>
            <w:r w:rsidRPr="00131909">
              <w:rPr>
                <w:rFonts w:ascii="Arial" w:hAnsi="Arial" w:cs="Arial"/>
                <w:b/>
                <w:sz w:val="22"/>
                <w:szCs w:val="22"/>
              </w:rPr>
              <w:t>Total</w:t>
            </w:r>
          </w:p>
        </w:tc>
        <w:tc>
          <w:tcPr>
            <w:tcW w:w="2961" w:type="dxa"/>
          </w:tcPr>
          <w:p w14:paraId="328BCEDA" w14:textId="77777777" w:rsidR="001B761F" w:rsidRPr="00131909" w:rsidRDefault="001B761F" w:rsidP="00353F3B">
            <w:pPr>
              <w:pStyle w:val="NoSpacing"/>
              <w:spacing w:after="120"/>
              <w:rPr>
                <w:rFonts w:ascii="Arial" w:hAnsi="Arial" w:cs="Arial"/>
                <w:b/>
                <w:sz w:val="22"/>
                <w:szCs w:val="22"/>
              </w:rPr>
            </w:pPr>
          </w:p>
        </w:tc>
        <w:tc>
          <w:tcPr>
            <w:tcW w:w="1082" w:type="dxa"/>
          </w:tcPr>
          <w:p w14:paraId="388B4382" w14:textId="7812162E" w:rsidR="001B761F" w:rsidRPr="00131909" w:rsidRDefault="001B761F" w:rsidP="00353F3B">
            <w:pPr>
              <w:pStyle w:val="NoSpacing"/>
              <w:spacing w:after="120"/>
              <w:jc w:val="right"/>
              <w:rPr>
                <w:rFonts w:ascii="Arial" w:hAnsi="Arial" w:cs="Arial"/>
                <w:b/>
                <w:sz w:val="22"/>
                <w:szCs w:val="22"/>
              </w:rPr>
            </w:pPr>
            <w:r>
              <w:rPr>
                <w:rFonts w:ascii="Arial" w:hAnsi="Arial" w:cs="Arial"/>
                <w:b/>
                <w:sz w:val="22"/>
                <w:szCs w:val="22"/>
              </w:rPr>
              <w:t>7509</w:t>
            </w:r>
          </w:p>
        </w:tc>
        <w:tc>
          <w:tcPr>
            <w:tcW w:w="1330" w:type="dxa"/>
          </w:tcPr>
          <w:p w14:paraId="51A9A28D" w14:textId="77777777" w:rsidR="001B761F" w:rsidRPr="00131909" w:rsidRDefault="001B761F" w:rsidP="00353F3B">
            <w:pPr>
              <w:pStyle w:val="NoSpacing"/>
              <w:spacing w:after="120"/>
              <w:jc w:val="right"/>
              <w:rPr>
                <w:rFonts w:ascii="Arial" w:hAnsi="Arial" w:cs="Arial"/>
                <w:sz w:val="22"/>
                <w:szCs w:val="22"/>
                <w:u w:val="single"/>
              </w:rPr>
            </w:pPr>
            <w:r w:rsidRPr="00131909">
              <w:rPr>
                <w:rFonts w:ascii="Arial" w:hAnsi="Arial" w:cs="Arial"/>
                <w:b/>
                <w:sz w:val="22"/>
                <w:szCs w:val="22"/>
              </w:rPr>
              <w:t>5000</w:t>
            </w:r>
          </w:p>
        </w:tc>
      </w:tr>
    </w:tbl>
    <w:p w14:paraId="6C4F3661" w14:textId="6CA9F4A2" w:rsidR="00EA38E3" w:rsidRPr="00131909" w:rsidRDefault="00A875D3" w:rsidP="00E0506C">
      <w:pPr>
        <w:pStyle w:val="NoSpacing"/>
        <w:keepNext/>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lastRenderedPageBreak/>
        <w:t>Next Steps</w:t>
      </w:r>
    </w:p>
    <w:p w14:paraId="0670B3F2" w14:textId="4A15A242" w:rsidR="00A875D3" w:rsidRDefault="00131909" w:rsidP="00E0506C">
      <w:pPr>
        <w:pStyle w:val="NoSpacing"/>
        <w:keepNext/>
        <w:numPr>
          <w:ilvl w:val="1"/>
          <w:numId w:val="33"/>
        </w:numPr>
        <w:spacing w:after="120"/>
        <w:ind w:left="709" w:hanging="709"/>
        <w:jc w:val="both"/>
        <w:rPr>
          <w:rFonts w:ascii="Arial" w:hAnsi="Arial" w:cs="Arial"/>
          <w:sz w:val="22"/>
          <w:szCs w:val="22"/>
        </w:rPr>
      </w:pPr>
      <w:r w:rsidRPr="009E3A09">
        <w:rPr>
          <w:rFonts w:ascii="Arial" w:hAnsi="Arial" w:cs="Arial"/>
          <w:sz w:val="22"/>
          <w:szCs w:val="22"/>
        </w:rPr>
        <w:t>Following</w:t>
      </w:r>
      <w:r w:rsidR="00A875D3" w:rsidRPr="009E3A09">
        <w:rPr>
          <w:rFonts w:ascii="Arial" w:hAnsi="Arial" w:cs="Arial"/>
          <w:sz w:val="22"/>
          <w:szCs w:val="22"/>
        </w:rPr>
        <w:t xml:space="preserve"> LTB endorse</w:t>
      </w:r>
      <w:r w:rsidR="00AB1074" w:rsidRPr="009E3A09">
        <w:rPr>
          <w:rFonts w:ascii="Arial" w:hAnsi="Arial" w:cs="Arial"/>
          <w:sz w:val="22"/>
          <w:szCs w:val="22"/>
        </w:rPr>
        <w:t>ment of the schemes the B</w:t>
      </w:r>
      <w:r w:rsidRPr="009E3A09">
        <w:rPr>
          <w:rFonts w:ascii="Arial" w:hAnsi="Arial" w:cs="Arial"/>
          <w:sz w:val="22"/>
          <w:szCs w:val="22"/>
        </w:rPr>
        <w:t>ody</w:t>
      </w:r>
      <w:r w:rsidR="00A875D3" w:rsidRPr="009E3A09">
        <w:rPr>
          <w:rFonts w:ascii="Arial" w:hAnsi="Arial" w:cs="Arial"/>
          <w:sz w:val="22"/>
          <w:szCs w:val="22"/>
        </w:rPr>
        <w:t xml:space="preserve"> wishes to support</w:t>
      </w:r>
      <w:r w:rsidRPr="009E3A09">
        <w:rPr>
          <w:rFonts w:ascii="Arial" w:hAnsi="Arial" w:cs="Arial"/>
          <w:sz w:val="22"/>
          <w:szCs w:val="22"/>
        </w:rPr>
        <w:t>,</w:t>
      </w:r>
      <w:r w:rsidR="00A875D3" w:rsidRPr="009E3A09">
        <w:rPr>
          <w:rFonts w:ascii="Arial" w:hAnsi="Arial" w:cs="Arial"/>
          <w:sz w:val="22"/>
          <w:szCs w:val="22"/>
        </w:rPr>
        <w:t xml:space="preserve"> </w:t>
      </w:r>
      <w:r w:rsidR="00AB1074" w:rsidRPr="009E3A09">
        <w:rPr>
          <w:rFonts w:ascii="Arial" w:hAnsi="Arial" w:cs="Arial"/>
          <w:sz w:val="22"/>
          <w:szCs w:val="22"/>
        </w:rPr>
        <w:t xml:space="preserve">the schemes will need to be taken forward in line with the LEP </w:t>
      </w:r>
      <w:r w:rsidR="009E3A09" w:rsidRPr="009E3A09">
        <w:rPr>
          <w:rFonts w:ascii="Arial" w:hAnsi="Arial" w:cs="Arial"/>
          <w:sz w:val="22"/>
          <w:szCs w:val="22"/>
        </w:rPr>
        <w:t>accountability</w:t>
      </w:r>
      <w:r w:rsidR="00AB1074" w:rsidRPr="009E3A09">
        <w:rPr>
          <w:rFonts w:ascii="Arial" w:hAnsi="Arial" w:cs="Arial"/>
          <w:sz w:val="22"/>
          <w:szCs w:val="22"/>
        </w:rPr>
        <w:t xml:space="preserve"> framework.  Funding distribution will be confirmed by the</w:t>
      </w:r>
      <w:r w:rsidR="00A875D3" w:rsidRPr="009E3A09">
        <w:rPr>
          <w:rFonts w:ascii="Arial" w:hAnsi="Arial" w:cs="Arial"/>
          <w:sz w:val="22"/>
          <w:szCs w:val="22"/>
        </w:rPr>
        <w:t xml:space="preserve"> LEP Board </w:t>
      </w:r>
      <w:r w:rsidR="00AB1074" w:rsidRPr="009E3A09">
        <w:rPr>
          <w:rFonts w:ascii="Arial" w:hAnsi="Arial" w:cs="Arial"/>
          <w:sz w:val="22"/>
          <w:szCs w:val="22"/>
        </w:rPr>
        <w:t>in May and project</w:t>
      </w:r>
      <w:r w:rsidR="009E3A09" w:rsidRPr="009E3A09">
        <w:rPr>
          <w:rFonts w:ascii="Arial" w:hAnsi="Arial" w:cs="Arial"/>
          <w:sz w:val="22"/>
          <w:szCs w:val="22"/>
        </w:rPr>
        <w:t xml:space="preserve"> sponsors</w:t>
      </w:r>
      <w:r w:rsidR="00AB1074" w:rsidRPr="009E3A09">
        <w:rPr>
          <w:rFonts w:ascii="Arial" w:hAnsi="Arial" w:cs="Arial"/>
          <w:sz w:val="22"/>
          <w:szCs w:val="22"/>
        </w:rPr>
        <w:t xml:space="preserve"> will need to submit business cases </w:t>
      </w:r>
      <w:r w:rsidR="009E3A09" w:rsidRPr="009E3A09">
        <w:rPr>
          <w:rFonts w:ascii="Arial" w:hAnsi="Arial" w:cs="Arial"/>
          <w:sz w:val="22"/>
          <w:szCs w:val="22"/>
        </w:rPr>
        <w:t xml:space="preserve">when they are ready </w:t>
      </w:r>
      <w:r w:rsidR="00AB1074" w:rsidRPr="009E3A09">
        <w:rPr>
          <w:rFonts w:ascii="Arial" w:hAnsi="Arial" w:cs="Arial"/>
          <w:sz w:val="22"/>
          <w:szCs w:val="22"/>
        </w:rPr>
        <w:t xml:space="preserve">to </w:t>
      </w:r>
      <w:r w:rsidR="00A875D3" w:rsidRPr="009E3A09">
        <w:rPr>
          <w:rFonts w:ascii="Arial" w:hAnsi="Arial" w:cs="Arial"/>
          <w:sz w:val="22"/>
          <w:szCs w:val="22"/>
        </w:rPr>
        <w:t xml:space="preserve">the </w:t>
      </w:r>
      <w:r w:rsidRPr="009E3A09">
        <w:rPr>
          <w:rFonts w:ascii="Arial" w:hAnsi="Arial" w:cs="Arial"/>
          <w:sz w:val="22"/>
          <w:szCs w:val="22"/>
        </w:rPr>
        <w:t xml:space="preserve">LEP’s </w:t>
      </w:r>
      <w:r w:rsidR="00A875D3" w:rsidRPr="009E3A09">
        <w:rPr>
          <w:rFonts w:ascii="Arial" w:hAnsi="Arial" w:cs="Arial"/>
          <w:sz w:val="22"/>
          <w:szCs w:val="22"/>
        </w:rPr>
        <w:t xml:space="preserve">Performance and Investment </w:t>
      </w:r>
      <w:r w:rsidRPr="009E3A09">
        <w:rPr>
          <w:rFonts w:ascii="Arial" w:hAnsi="Arial" w:cs="Arial"/>
          <w:sz w:val="22"/>
          <w:szCs w:val="22"/>
        </w:rPr>
        <w:t xml:space="preserve">(P&amp;I) </w:t>
      </w:r>
      <w:r w:rsidR="00A875D3" w:rsidRPr="009E3A09">
        <w:rPr>
          <w:rFonts w:ascii="Arial" w:hAnsi="Arial" w:cs="Arial"/>
          <w:sz w:val="22"/>
          <w:szCs w:val="22"/>
        </w:rPr>
        <w:t xml:space="preserve">Committee </w:t>
      </w:r>
      <w:r w:rsidR="009E3A09" w:rsidRPr="009E3A09">
        <w:rPr>
          <w:rFonts w:ascii="Arial" w:hAnsi="Arial" w:cs="Arial"/>
          <w:sz w:val="22"/>
          <w:szCs w:val="22"/>
        </w:rPr>
        <w:t>who</w:t>
      </w:r>
      <w:r w:rsidR="009E3A09">
        <w:rPr>
          <w:rFonts w:ascii="Arial" w:hAnsi="Arial" w:cs="Arial"/>
          <w:sz w:val="22"/>
          <w:szCs w:val="22"/>
        </w:rPr>
        <w:t xml:space="preserve"> will</w:t>
      </w:r>
      <w:r w:rsidR="009E3A09" w:rsidRPr="009E3A09">
        <w:rPr>
          <w:rFonts w:ascii="Arial" w:hAnsi="Arial" w:cs="Arial"/>
          <w:sz w:val="22"/>
          <w:szCs w:val="22"/>
        </w:rPr>
        <w:t xml:space="preserve"> consider and approve detailed appraisal information for pipeline projects prioritised for funding. P&amp;I committee will also provide feedback to project sponsors for any projects that fail to pass the investment gateway stage</w:t>
      </w:r>
      <w:r w:rsidR="001273C4" w:rsidRPr="009E3A09">
        <w:rPr>
          <w:rFonts w:ascii="Arial" w:hAnsi="Arial" w:cs="Arial"/>
          <w:sz w:val="22"/>
          <w:szCs w:val="22"/>
        </w:rPr>
        <w:t>.</w:t>
      </w:r>
      <w:r w:rsidR="009E3A09">
        <w:rPr>
          <w:rFonts w:ascii="Arial" w:hAnsi="Arial" w:cs="Arial"/>
          <w:sz w:val="22"/>
          <w:szCs w:val="22"/>
        </w:rPr>
        <w:t xml:space="preserve">  The LEP executive team will be </w:t>
      </w:r>
      <w:r w:rsidR="00446330">
        <w:rPr>
          <w:rFonts w:ascii="Arial" w:hAnsi="Arial" w:cs="Arial"/>
          <w:sz w:val="22"/>
          <w:szCs w:val="22"/>
        </w:rPr>
        <w:t>available to support project spo</w:t>
      </w:r>
      <w:r w:rsidR="009E3A09">
        <w:rPr>
          <w:rFonts w:ascii="Arial" w:hAnsi="Arial" w:cs="Arial"/>
          <w:sz w:val="22"/>
          <w:szCs w:val="22"/>
        </w:rPr>
        <w:t xml:space="preserve">nsors with advice on business case development.  </w:t>
      </w:r>
    </w:p>
    <w:p w14:paraId="742FE33D" w14:textId="6C2D9644" w:rsidR="001240CB" w:rsidRDefault="001240CB">
      <w:pPr>
        <w:rPr>
          <w:rFonts w:ascii="Arial" w:hAnsi="Arial" w:cs="Arial"/>
          <w:sz w:val="22"/>
          <w:szCs w:val="22"/>
        </w:rPr>
      </w:pPr>
      <w:r>
        <w:rPr>
          <w:rFonts w:ascii="Arial" w:hAnsi="Arial" w:cs="Arial"/>
          <w:sz w:val="22"/>
          <w:szCs w:val="22"/>
        </w:rPr>
        <w:br w:type="page"/>
      </w:r>
    </w:p>
    <w:p w14:paraId="2BEA9954" w14:textId="0C1CE865" w:rsidR="001240CB" w:rsidRPr="001240CB" w:rsidRDefault="001240CB" w:rsidP="00544E1A">
      <w:pPr>
        <w:pStyle w:val="NoSpacing"/>
        <w:spacing w:after="120"/>
        <w:jc w:val="center"/>
        <w:rPr>
          <w:rFonts w:ascii="Arial" w:hAnsi="Arial" w:cs="Arial"/>
          <w:b/>
          <w:sz w:val="22"/>
          <w:szCs w:val="22"/>
        </w:rPr>
      </w:pPr>
      <w:r w:rsidRPr="001240CB">
        <w:rPr>
          <w:rFonts w:ascii="Arial" w:hAnsi="Arial" w:cs="Arial"/>
          <w:b/>
          <w:sz w:val="22"/>
          <w:szCs w:val="22"/>
        </w:rPr>
        <w:lastRenderedPageBreak/>
        <w:t>Appendix 1</w:t>
      </w:r>
    </w:p>
    <w:tbl>
      <w:tblPr>
        <w:tblStyle w:val="TableGrid"/>
        <w:tblW w:w="9356" w:type="dxa"/>
        <w:tblInd w:w="-85" w:type="dxa"/>
        <w:tblCellMar>
          <w:left w:w="57" w:type="dxa"/>
          <w:right w:w="57" w:type="dxa"/>
        </w:tblCellMar>
        <w:tblLook w:val="04A0" w:firstRow="1" w:lastRow="0" w:firstColumn="1" w:lastColumn="0" w:noHBand="0" w:noVBand="1"/>
      </w:tblPr>
      <w:tblGrid>
        <w:gridCol w:w="1843"/>
        <w:gridCol w:w="1984"/>
        <w:gridCol w:w="1644"/>
        <w:gridCol w:w="1446"/>
        <w:gridCol w:w="2439"/>
      </w:tblGrid>
      <w:tr w:rsidR="00957146" w:rsidRPr="00131909" w14:paraId="4760AD39" w14:textId="50B0AB94" w:rsidTr="008864CA">
        <w:trPr>
          <w:cantSplit/>
        </w:trPr>
        <w:tc>
          <w:tcPr>
            <w:tcW w:w="1843" w:type="dxa"/>
          </w:tcPr>
          <w:p w14:paraId="66DA9340" w14:textId="77777777" w:rsidR="00784BE7" w:rsidRPr="00131909" w:rsidRDefault="00784BE7" w:rsidP="00784BE7">
            <w:pPr>
              <w:pStyle w:val="NoSpacing"/>
              <w:spacing w:after="120"/>
              <w:rPr>
                <w:rFonts w:ascii="Arial" w:hAnsi="Arial" w:cs="Arial"/>
                <w:b/>
                <w:sz w:val="22"/>
                <w:szCs w:val="22"/>
              </w:rPr>
            </w:pPr>
            <w:r w:rsidRPr="00131909">
              <w:rPr>
                <w:rFonts w:ascii="Arial" w:hAnsi="Arial" w:cs="Arial"/>
                <w:b/>
                <w:sz w:val="22"/>
                <w:szCs w:val="22"/>
              </w:rPr>
              <w:t>Scheme Name</w:t>
            </w:r>
          </w:p>
        </w:tc>
        <w:tc>
          <w:tcPr>
            <w:tcW w:w="1984" w:type="dxa"/>
          </w:tcPr>
          <w:p w14:paraId="6A4FE905" w14:textId="41CFDEBB" w:rsidR="00784BE7" w:rsidRPr="00131909" w:rsidRDefault="00784BE7" w:rsidP="00784BE7">
            <w:pPr>
              <w:pStyle w:val="NoSpacing"/>
              <w:spacing w:after="120"/>
              <w:rPr>
                <w:rFonts w:ascii="Arial" w:hAnsi="Arial" w:cs="Arial"/>
                <w:b/>
                <w:sz w:val="22"/>
                <w:szCs w:val="22"/>
              </w:rPr>
            </w:pPr>
            <w:r>
              <w:rPr>
                <w:rFonts w:ascii="Arial" w:hAnsi="Arial" w:cs="Arial"/>
                <w:b/>
                <w:sz w:val="22"/>
                <w:szCs w:val="22"/>
              </w:rPr>
              <w:t>Strategic Fit</w:t>
            </w:r>
          </w:p>
        </w:tc>
        <w:tc>
          <w:tcPr>
            <w:tcW w:w="1644" w:type="dxa"/>
          </w:tcPr>
          <w:p w14:paraId="16AB5ECD" w14:textId="0EAF96B4" w:rsidR="00784BE7" w:rsidRPr="00131909" w:rsidRDefault="00784BE7" w:rsidP="00784BE7">
            <w:pPr>
              <w:pStyle w:val="NoSpacing"/>
              <w:spacing w:after="120"/>
              <w:rPr>
                <w:rFonts w:ascii="Arial" w:hAnsi="Arial" w:cs="Arial"/>
                <w:b/>
                <w:sz w:val="22"/>
                <w:szCs w:val="22"/>
              </w:rPr>
            </w:pPr>
            <w:r>
              <w:rPr>
                <w:rFonts w:ascii="Arial" w:hAnsi="Arial" w:cs="Arial"/>
                <w:b/>
                <w:sz w:val="22"/>
                <w:szCs w:val="22"/>
              </w:rPr>
              <w:t>Outputs</w:t>
            </w:r>
          </w:p>
        </w:tc>
        <w:tc>
          <w:tcPr>
            <w:tcW w:w="1446" w:type="dxa"/>
          </w:tcPr>
          <w:p w14:paraId="2526405B" w14:textId="77777777" w:rsidR="00544E1A" w:rsidRDefault="00784BE7" w:rsidP="00784BE7">
            <w:pPr>
              <w:pStyle w:val="NoSpacing"/>
              <w:spacing w:after="120"/>
              <w:rPr>
                <w:rFonts w:ascii="Arial" w:hAnsi="Arial" w:cs="Arial"/>
                <w:b/>
                <w:sz w:val="22"/>
                <w:szCs w:val="22"/>
              </w:rPr>
            </w:pPr>
            <w:r>
              <w:rPr>
                <w:rFonts w:ascii="Arial" w:hAnsi="Arial" w:cs="Arial"/>
                <w:b/>
                <w:sz w:val="22"/>
                <w:szCs w:val="22"/>
              </w:rPr>
              <w:t>Funding</w:t>
            </w:r>
            <w:r w:rsidR="00957146">
              <w:rPr>
                <w:rFonts w:ascii="Arial" w:hAnsi="Arial" w:cs="Arial"/>
                <w:b/>
                <w:sz w:val="22"/>
                <w:szCs w:val="22"/>
              </w:rPr>
              <w:t>/</w:t>
            </w:r>
          </w:p>
          <w:p w14:paraId="20E1C4E2" w14:textId="477FB422" w:rsidR="00784BE7" w:rsidRPr="00131909" w:rsidRDefault="00957146" w:rsidP="00784BE7">
            <w:pPr>
              <w:pStyle w:val="NoSpacing"/>
              <w:spacing w:after="120"/>
              <w:rPr>
                <w:rFonts w:ascii="Arial" w:hAnsi="Arial" w:cs="Arial"/>
                <w:b/>
                <w:sz w:val="22"/>
                <w:szCs w:val="22"/>
              </w:rPr>
            </w:pPr>
            <w:proofErr w:type="spellStart"/>
            <w:r>
              <w:rPr>
                <w:rFonts w:ascii="Arial" w:hAnsi="Arial" w:cs="Arial"/>
                <w:b/>
                <w:sz w:val="22"/>
                <w:szCs w:val="22"/>
              </w:rPr>
              <w:t>VfM</w:t>
            </w:r>
            <w:proofErr w:type="spellEnd"/>
          </w:p>
        </w:tc>
        <w:tc>
          <w:tcPr>
            <w:tcW w:w="2439" w:type="dxa"/>
          </w:tcPr>
          <w:p w14:paraId="24B3227C" w14:textId="25C2DE65" w:rsidR="00784BE7" w:rsidRPr="00131909" w:rsidRDefault="00784BE7" w:rsidP="00784BE7">
            <w:pPr>
              <w:pStyle w:val="NoSpacing"/>
              <w:spacing w:after="120"/>
              <w:rPr>
                <w:rFonts w:ascii="Arial" w:hAnsi="Arial" w:cs="Arial"/>
                <w:b/>
                <w:sz w:val="22"/>
                <w:szCs w:val="22"/>
              </w:rPr>
            </w:pPr>
            <w:r>
              <w:rPr>
                <w:rFonts w:ascii="Arial" w:hAnsi="Arial" w:cs="Arial"/>
                <w:b/>
                <w:sz w:val="22"/>
                <w:szCs w:val="22"/>
              </w:rPr>
              <w:t>Deliverability</w:t>
            </w:r>
          </w:p>
        </w:tc>
      </w:tr>
      <w:tr w:rsidR="00957146" w:rsidRPr="00131909" w14:paraId="2D767567" w14:textId="073EC119" w:rsidTr="008864CA">
        <w:trPr>
          <w:cantSplit/>
        </w:trPr>
        <w:tc>
          <w:tcPr>
            <w:tcW w:w="1843" w:type="dxa"/>
          </w:tcPr>
          <w:p w14:paraId="62E239DF" w14:textId="77777777" w:rsidR="00784BE7" w:rsidRPr="00131909" w:rsidRDefault="00784BE7" w:rsidP="00991313">
            <w:pPr>
              <w:pStyle w:val="NoSpacing"/>
              <w:spacing w:after="120"/>
              <w:rPr>
                <w:rFonts w:ascii="Arial" w:hAnsi="Arial" w:cs="Arial"/>
                <w:sz w:val="22"/>
                <w:szCs w:val="22"/>
                <w:u w:val="single"/>
              </w:rPr>
            </w:pPr>
            <w:r w:rsidRPr="000D1942">
              <w:rPr>
                <w:rFonts w:ascii="Arial" w:hAnsi="Arial" w:cs="Arial"/>
                <w:sz w:val="22"/>
                <w:szCs w:val="22"/>
              </w:rPr>
              <w:t>Wilmslow Strategic Cycle and Walking Route</w:t>
            </w:r>
            <w:r w:rsidRPr="000D1942">
              <w:rPr>
                <w:rFonts w:ascii="Arial" w:hAnsi="Arial" w:cs="Arial"/>
                <w:sz w:val="22"/>
                <w:szCs w:val="22"/>
              </w:rPr>
              <w:tab/>
            </w:r>
          </w:p>
        </w:tc>
        <w:tc>
          <w:tcPr>
            <w:tcW w:w="1984" w:type="dxa"/>
          </w:tcPr>
          <w:p w14:paraId="1BD31BDF" w14:textId="2B94BF20" w:rsidR="00784BE7" w:rsidRPr="00131909" w:rsidRDefault="00784BE7" w:rsidP="00784BE7">
            <w:pPr>
              <w:pStyle w:val="NoSpacing"/>
              <w:spacing w:after="120"/>
              <w:rPr>
                <w:rFonts w:ascii="Arial" w:hAnsi="Arial" w:cs="Arial"/>
                <w:sz w:val="22"/>
                <w:szCs w:val="22"/>
              </w:rPr>
            </w:pPr>
            <w:r>
              <w:rPr>
                <w:rFonts w:ascii="Arial" w:hAnsi="Arial" w:cs="Arial"/>
                <w:sz w:val="22"/>
                <w:szCs w:val="22"/>
              </w:rPr>
              <w:t>Good strategic fit linking to key employment sites</w:t>
            </w:r>
          </w:p>
        </w:tc>
        <w:tc>
          <w:tcPr>
            <w:tcW w:w="1644" w:type="dxa"/>
          </w:tcPr>
          <w:p w14:paraId="0CE0F728" w14:textId="51B31CCC" w:rsidR="00784BE7" w:rsidRPr="00784BE7" w:rsidRDefault="00784BE7" w:rsidP="00784BE7">
            <w:pPr>
              <w:pStyle w:val="NoSpacing"/>
              <w:spacing w:after="120"/>
              <w:rPr>
                <w:rFonts w:ascii="Arial" w:hAnsi="Arial" w:cs="Arial"/>
                <w:sz w:val="22"/>
                <w:szCs w:val="22"/>
              </w:rPr>
            </w:pPr>
            <w:r w:rsidRPr="00784BE7">
              <w:rPr>
                <w:rFonts w:ascii="Arial" w:hAnsi="Arial" w:cs="Arial"/>
                <w:sz w:val="22"/>
                <w:szCs w:val="22"/>
              </w:rPr>
              <w:t xml:space="preserve">Good outputs in terms of supporting </w:t>
            </w:r>
            <w:r w:rsidR="00957146">
              <w:rPr>
                <w:rFonts w:ascii="Arial" w:hAnsi="Arial" w:cs="Arial"/>
                <w:sz w:val="22"/>
                <w:szCs w:val="22"/>
              </w:rPr>
              <w:t xml:space="preserve">numbers of </w:t>
            </w:r>
            <w:r w:rsidRPr="00784BE7">
              <w:rPr>
                <w:rFonts w:ascii="Arial" w:hAnsi="Arial" w:cs="Arial"/>
                <w:sz w:val="22"/>
                <w:szCs w:val="22"/>
              </w:rPr>
              <w:t>pedestrians and cyclists and linked to job growth</w:t>
            </w:r>
          </w:p>
        </w:tc>
        <w:tc>
          <w:tcPr>
            <w:tcW w:w="1446" w:type="dxa"/>
          </w:tcPr>
          <w:p w14:paraId="23D77EE8" w14:textId="509E09AB" w:rsidR="00784BE7" w:rsidRPr="00131909" w:rsidRDefault="00784BE7" w:rsidP="00544E1A">
            <w:pPr>
              <w:pStyle w:val="NoSpacing"/>
              <w:spacing w:after="120"/>
              <w:ind w:right="113"/>
              <w:rPr>
                <w:rFonts w:ascii="Arial" w:hAnsi="Arial" w:cs="Arial"/>
                <w:sz w:val="22"/>
                <w:szCs w:val="22"/>
              </w:rPr>
            </w:pPr>
            <w:r>
              <w:rPr>
                <w:rFonts w:ascii="Arial" w:hAnsi="Arial" w:cs="Arial"/>
                <w:sz w:val="22"/>
                <w:szCs w:val="22"/>
              </w:rPr>
              <w:t xml:space="preserve">Very high </w:t>
            </w:r>
            <w:r w:rsidR="00957146">
              <w:rPr>
                <w:rFonts w:ascii="Arial" w:hAnsi="Arial" w:cs="Arial"/>
                <w:sz w:val="22"/>
                <w:szCs w:val="22"/>
              </w:rPr>
              <w:t>BCR</w:t>
            </w:r>
            <w:r w:rsidR="00782FF1">
              <w:rPr>
                <w:rFonts w:ascii="Arial" w:hAnsi="Arial" w:cs="Arial"/>
                <w:sz w:val="22"/>
                <w:szCs w:val="22"/>
              </w:rPr>
              <w:t>.</w:t>
            </w:r>
            <w:r>
              <w:rPr>
                <w:rFonts w:ascii="Arial" w:hAnsi="Arial" w:cs="Arial"/>
                <w:sz w:val="22"/>
                <w:szCs w:val="22"/>
              </w:rPr>
              <w:t xml:space="preserve"> </w:t>
            </w:r>
            <w:r w:rsidRPr="00784BE7">
              <w:rPr>
                <w:rFonts w:ascii="Arial" w:hAnsi="Arial" w:cs="Arial"/>
                <w:sz w:val="22"/>
                <w:szCs w:val="22"/>
              </w:rPr>
              <w:t>Council will underwrite any increase in scheme costs.</w:t>
            </w:r>
          </w:p>
        </w:tc>
        <w:tc>
          <w:tcPr>
            <w:tcW w:w="2439" w:type="dxa"/>
          </w:tcPr>
          <w:p w14:paraId="0D828B97" w14:textId="4D58CD44" w:rsidR="00784BE7" w:rsidRPr="00131909" w:rsidRDefault="00784BE7" w:rsidP="00784BE7">
            <w:pPr>
              <w:pStyle w:val="NoSpacing"/>
              <w:spacing w:after="120"/>
              <w:rPr>
                <w:rFonts w:ascii="Arial" w:hAnsi="Arial" w:cs="Arial"/>
                <w:sz w:val="22"/>
                <w:szCs w:val="22"/>
              </w:rPr>
            </w:pPr>
            <w:r w:rsidRPr="00784BE7">
              <w:rPr>
                <w:rFonts w:ascii="Arial" w:hAnsi="Arial" w:cs="Arial"/>
                <w:sz w:val="22"/>
                <w:szCs w:val="22"/>
              </w:rPr>
              <w:t xml:space="preserve">No private land required, no planning permission required.  Risk </w:t>
            </w:r>
            <w:r w:rsidR="00E0506C" w:rsidRPr="00784BE7">
              <w:rPr>
                <w:rFonts w:ascii="Arial" w:hAnsi="Arial" w:cs="Arial"/>
                <w:sz w:val="22"/>
                <w:szCs w:val="22"/>
              </w:rPr>
              <w:t>mitigation</w:t>
            </w:r>
            <w:r w:rsidRPr="00784BE7">
              <w:rPr>
                <w:rFonts w:ascii="Arial" w:hAnsi="Arial" w:cs="Arial"/>
                <w:sz w:val="22"/>
                <w:szCs w:val="22"/>
              </w:rPr>
              <w:t xml:space="preserve"> on</w:t>
            </w:r>
            <w:r w:rsidR="00957146">
              <w:rPr>
                <w:rFonts w:ascii="Arial" w:hAnsi="Arial" w:cs="Arial"/>
                <w:sz w:val="22"/>
                <w:szCs w:val="22"/>
              </w:rPr>
              <w:t xml:space="preserve"> land issues. Could start next J</w:t>
            </w:r>
            <w:r w:rsidRPr="00784BE7">
              <w:rPr>
                <w:rFonts w:ascii="Arial" w:hAnsi="Arial" w:cs="Arial"/>
                <w:sz w:val="22"/>
                <w:szCs w:val="22"/>
              </w:rPr>
              <w:t xml:space="preserve">an and complete by Aug </w:t>
            </w:r>
            <w:r w:rsidR="00957146">
              <w:rPr>
                <w:rFonts w:ascii="Arial" w:hAnsi="Arial" w:cs="Arial"/>
                <w:sz w:val="22"/>
                <w:szCs w:val="22"/>
              </w:rPr>
              <w:t>20</w:t>
            </w:r>
            <w:r w:rsidRPr="00784BE7">
              <w:rPr>
                <w:rFonts w:ascii="Arial" w:hAnsi="Arial" w:cs="Arial"/>
                <w:sz w:val="22"/>
                <w:szCs w:val="22"/>
              </w:rPr>
              <w:t xml:space="preserve">19.    </w:t>
            </w:r>
            <w:r>
              <w:rPr>
                <w:rFonts w:ascii="Arial" w:hAnsi="Arial" w:cs="Arial"/>
                <w:sz w:val="22"/>
                <w:szCs w:val="22"/>
              </w:rPr>
              <w:t>Scheme</w:t>
            </w:r>
            <w:r w:rsidR="00957146">
              <w:rPr>
                <w:rFonts w:ascii="Arial" w:hAnsi="Arial" w:cs="Arial"/>
                <w:sz w:val="22"/>
                <w:szCs w:val="22"/>
              </w:rPr>
              <w:t xml:space="preserve"> is</w:t>
            </w:r>
            <w:r>
              <w:rPr>
                <w:rFonts w:ascii="Arial" w:hAnsi="Arial" w:cs="Arial"/>
                <w:sz w:val="22"/>
                <w:szCs w:val="22"/>
              </w:rPr>
              <w:t xml:space="preserve"> </w:t>
            </w:r>
            <w:proofErr w:type="spellStart"/>
            <w:r w:rsidR="00782FF1">
              <w:rPr>
                <w:rFonts w:ascii="Arial" w:hAnsi="Arial" w:cs="Arial"/>
                <w:sz w:val="22"/>
                <w:szCs w:val="22"/>
              </w:rPr>
              <w:t>scaleable</w:t>
            </w:r>
            <w:proofErr w:type="spellEnd"/>
            <w:r>
              <w:rPr>
                <w:rFonts w:ascii="Arial" w:hAnsi="Arial" w:cs="Arial"/>
                <w:sz w:val="22"/>
                <w:szCs w:val="22"/>
              </w:rPr>
              <w:t>.</w:t>
            </w:r>
          </w:p>
        </w:tc>
      </w:tr>
      <w:tr w:rsidR="00957146" w:rsidRPr="00131909" w14:paraId="1B7D54A9" w14:textId="6431D979" w:rsidTr="008864CA">
        <w:trPr>
          <w:cantSplit/>
        </w:trPr>
        <w:tc>
          <w:tcPr>
            <w:tcW w:w="1843" w:type="dxa"/>
          </w:tcPr>
          <w:p w14:paraId="3482A8EA" w14:textId="77777777" w:rsidR="00784BE7" w:rsidRPr="00131909" w:rsidRDefault="00784BE7" w:rsidP="00991313">
            <w:pPr>
              <w:pStyle w:val="NoSpacing"/>
              <w:spacing w:after="120"/>
              <w:rPr>
                <w:rFonts w:ascii="Arial" w:hAnsi="Arial" w:cs="Arial"/>
                <w:sz w:val="22"/>
                <w:szCs w:val="22"/>
              </w:rPr>
            </w:pPr>
            <w:r w:rsidRPr="000D1942">
              <w:rPr>
                <w:rFonts w:ascii="Arial" w:hAnsi="Arial" w:cs="Arial"/>
                <w:sz w:val="22"/>
                <w:szCs w:val="22"/>
              </w:rPr>
              <w:t>Northwest Crewe Cycling and Walking Link</w:t>
            </w:r>
            <w:r w:rsidRPr="000D1942">
              <w:rPr>
                <w:rFonts w:ascii="Arial" w:hAnsi="Arial" w:cs="Arial"/>
                <w:sz w:val="22"/>
                <w:szCs w:val="22"/>
              </w:rPr>
              <w:tab/>
            </w:r>
          </w:p>
        </w:tc>
        <w:tc>
          <w:tcPr>
            <w:tcW w:w="1984" w:type="dxa"/>
          </w:tcPr>
          <w:p w14:paraId="1396F134" w14:textId="13E41596" w:rsidR="00784BE7" w:rsidRPr="00131909" w:rsidRDefault="00957146" w:rsidP="00784BE7">
            <w:pPr>
              <w:pStyle w:val="NoSpacing"/>
              <w:spacing w:after="120"/>
              <w:rPr>
                <w:rFonts w:ascii="Arial" w:hAnsi="Arial" w:cs="Arial"/>
                <w:sz w:val="22"/>
                <w:szCs w:val="22"/>
              </w:rPr>
            </w:pPr>
            <w:r>
              <w:rPr>
                <w:rFonts w:ascii="Arial" w:hAnsi="Arial" w:cs="Arial"/>
                <w:sz w:val="22"/>
                <w:szCs w:val="22"/>
              </w:rPr>
              <w:t xml:space="preserve">Good strategic fit. </w:t>
            </w:r>
            <w:r w:rsidRPr="00957146">
              <w:rPr>
                <w:rFonts w:ascii="Arial" w:hAnsi="Arial" w:cs="Arial"/>
                <w:sz w:val="22"/>
                <w:szCs w:val="22"/>
              </w:rPr>
              <w:t xml:space="preserve">Complements Bentley Masterplan.  </w:t>
            </w:r>
          </w:p>
        </w:tc>
        <w:tc>
          <w:tcPr>
            <w:tcW w:w="1644" w:type="dxa"/>
          </w:tcPr>
          <w:p w14:paraId="20B0035A" w14:textId="0BFBB09D" w:rsidR="00784BE7" w:rsidRPr="00131909" w:rsidRDefault="00957146" w:rsidP="00784BE7">
            <w:pPr>
              <w:pStyle w:val="NoSpacing"/>
              <w:spacing w:after="120"/>
              <w:rPr>
                <w:rFonts w:ascii="Arial" w:hAnsi="Arial" w:cs="Arial"/>
                <w:sz w:val="22"/>
                <w:szCs w:val="22"/>
              </w:rPr>
            </w:pPr>
            <w:r w:rsidRPr="00957146">
              <w:rPr>
                <w:rFonts w:ascii="Arial" w:hAnsi="Arial" w:cs="Arial"/>
                <w:sz w:val="22"/>
                <w:szCs w:val="22"/>
              </w:rPr>
              <w:t xml:space="preserve">Good outputs in terms of supporting </w:t>
            </w:r>
            <w:r>
              <w:rPr>
                <w:rFonts w:ascii="Arial" w:hAnsi="Arial" w:cs="Arial"/>
                <w:sz w:val="22"/>
                <w:szCs w:val="22"/>
              </w:rPr>
              <w:t xml:space="preserve">numbers of </w:t>
            </w:r>
            <w:r w:rsidRPr="00957146">
              <w:rPr>
                <w:rFonts w:ascii="Arial" w:hAnsi="Arial" w:cs="Arial"/>
                <w:sz w:val="22"/>
                <w:szCs w:val="22"/>
              </w:rPr>
              <w:t>pedestrians and cyclists</w:t>
            </w:r>
          </w:p>
        </w:tc>
        <w:tc>
          <w:tcPr>
            <w:tcW w:w="1446" w:type="dxa"/>
          </w:tcPr>
          <w:p w14:paraId="4A26B526" w14:textId="7DAF9E4A" w:rsidR="00784BE7" w:rsidRPr="00131909" w:rsidRDefault="00957146" w:rsidP="00957146">
            <w:pPr>
              <w:pStyle w:val="NoSpacing"/>
              <w:spacing w:after="120"/>
              <w:rPr>
                <w:rFonts w:ascii="Arial" w:hAnsi="Arial" w:cs="Arial"/>
                <w:sz w:val="22"/>
                <w:szCs w:val="22"/>
              </w:rPr>
            </w:pPr>
            <w:r>
              <w:rPr>
                <w:rFonts w:ascii="Arial" w:hAnsi="Arial" w:cs="Arial"/>
                <w:sz w:val="22"/>
                <w:szCs w:val="22"/>
              </w:rPr>
              <w:t>High BCR.</w:t>
            </w:r>
          </w:p>
        </w:tc>
        <w:tc>
          <w:tcPr>
            <w:tcW w:w="2439" w:type="dxa"/>
          </w:tcPr>
          <w:p w14:paraId="6770EAF2" w14:textId="0AFFD739" w:rsidR="00784BE7" w:rsidRPr="00131909" w:rsidRDefault="00957146" w:rsidP="00957146">
            <w:pPr>
              <w:pStyle w:val="NoSpacing"/>
              <w:spacing w:after="120"/>
              <w:rPr>
                <w:rFonts w:ascii="Arial" w:hAnsi="Arial" w:cs="Arial"/>
                <w:sz w:val="22"/>
                <w:szCs w:val="22"/>
              </w:rPr>
            </w:pPr>
            <w:r w:rsidRPr="00957146">
              <w:rPr>
                <w:rFonts w:ascii="Arial" w:hAnsi="Arial" w:cs="Arial"/>
                <w:sz w:val="22"/>
                <w:szCs w:val="22"/>
              </w:rPr>
              <w:t xml:space="preserve">Consultation already carried out as part of wider package of works.  No land issues anticipated.  Detailed design has already been undertaken on some elements and outline for others. Could be done in phases.  </w:t>
            </w:r>
          </w:p>
        </w:tc>
      </w:tr>
      <w:tr w:rsidR="00957146" w:rsidRPr="00131909" w14:paraId="3DD58C0A" w14:textId="71F226A5" w:rsidTr="008864CA">
        <w:trPr>
          <w:cantSplit/>
        </w:trPr>
        <w:tc>
          <w:tcPr>
            <w:tcW w:w="1843" w:type="dxa"/>
          </w:tcPr>
          <w:p w14:paraId="32259D61" w14:textId="77777777" w:rsidR="00784BE7" w:rsidRPr="00131909" w:rsidRDefault="00784BE7" w:rsidP="00991313">
            <w:pPr>
              <w:pStyle w:val="NoSpacing"/>
              <w:spacing w:after="120"/>
              <w:rPr>
                <w:rFonts w:ascii="Arial" w:hAnsi="Arial" w:cs="Arial"/>
                <w:sz w:val="22"/>
                <w:szCs w:val="22"/>
                <w:u w:val="single"/>
              </w:rPr>
            </w:pPr>
            <w:r w:rsidRPr="00131909">
              <w:rPr>
                <w:rFonts w:ascii="Arial" w:hAnsi="Arial" w:cs="Arial"/>
                <w:sz w:val="22"/>
                <w:szCs w:val="22"/>
              </w:rPr>
              <w:t xml:space="preserve">A5117 Cycle Route, Ellesmere Port </w:t>
            </w:r>
          </w:p>
        </w:tc>
        <w:tc>
          <w:tcPr>
            <w:tcW w:w="1984" w:type="dxa"/>
          </w:tcPr>
          <w:p w14:paraId="68135EBD" w14:textId="6D57F861" w:rsidR="00784BE7" w:rsidRPr="00131909" w:rsidRDefault="00957146" w:rsidP="00784BE7">
            <w:pPr>
              <w:pStyle w:val="NoSpacing"/>
              <w:spacing w:after="120"/>
              <w:rPr>
                <w:rFonts w:ascii="Arial" w:hAnsi="Arial" w:cs="Arial"/>
                <w:sz w:val="22"/>
                <w:szCs w:val="22"/>
              </w:rPr>
            </w:pPr>
            <w:r>
              <w:rPr>
                <w:rFonts w:ascii="Arial" w:hAnsi="Arial" w:cs="Arial"/>
                <w:sz w:val="22"/>
                <w:szCs w:val="22"/>
              </w:rPr>
              <w:t>Good strategic fit, linking Ellesmere Port to Cheshire Oaks and Chester</w:t>
            </w:r>
          </w:p>
        </w:tc>
        <w:tc>
          <w:tcPr>
            <w:tcW w:w="1644" w:type="dxa"/>
          </w:tcPr>
          <w:p w14:paraId="4A2663F5" w14:textId="2878EC3E" w:rsidR="00957146" w:rsidRPr="00957146" w:rsidRDefault="00957146" w:rsidP="00784BE7">
            <w:pPr>
              <w:pStyle w:val="NoSpacing"/>
              <w:spacing w:after="120"/>
              <w:rPr>
                <w:rFonts w:ascii="Arial" w:hAnsi="Arial" w:cs="Arial"/>
                <w:sz w:val="22"/>
                <w:szCs w:val="22"/>
              </w:rPr>
            </w:pPr>
            <w:r w:rsidRPr="00957146">
              <w:rPr>
                <w:rFonts w:ascii="Arial" w:hAnsi="Arial" w:cs="Arial"/>
                <w:sz w:val="22"/>
                <w:szCs w:val="22"/>
              </w:rPr>
              <w:t>Good outputs in terms of supporting access to jobs but lacks quantification of numbers of pedestrians and cyclists</w:t>
            </w:r>
          </w:p>
        </w:tc>
        <w:tc>
          <w:tcPr>
            <w:tcW w:w="1446" w:type="dxa"/>
          </w:tcPr>
          <w:p w14:paraId="0B43A831" w14:textId="6C273749" w:rsidR="00784BE7" w:rsidRPr="00131909" w:rsidRDefault="00957146" w:rsidP="00784BE7">
            <w:pPr>
              <w:pStyle w:val="NoSpacing"/>
              <w:spacing w:after="120"/>
              <w:rPr>
                <w:rFonts w:ascii="Arial" w:hAnsi="Arial" w:cs="Arial"/>
                <w:sz w:val="22"/>
                <w:szCs w:val="22"/>
              </w:rPr>
            </w:pPr>
            <w:r w:rsidRPr="00957146">
              <w:rPr>
                <w:rFonts w:ascii="Arial" w:hAnsi="Arial" w:cs="Arial"/>
                <w:sz w:val="22"/>
                <w:szCs w:val="22"/>
              </w:rPr>
              <w:t>V</w:t>
            </w:r>
            <w:r>
              <w:rPr>
                <w:rFonts w:ascii="Arial" w:hAnsi="Arial" w:cs="Arial"/>
                <w:sz w:val="22"/>
                <w:szCs w:val="22"/>
              </w:rPr>
              <w:t>ery</w:t>
            </w:r>
            <w:r w:rsidRPr="00957146">
              <w:rPr>
                <w:rFonts w:ascii="Arial" w:hAnsi="Arial" w:cs="Arial"/>
                <w:sz w:val="22"/>
                <w:szCs w:val="22"/>
              </w:rPr>
              <w:t xml:space="preserve"> high BCR</w:t>
            </w:r>
          </w:p>
        </w:tc>
        <w:tc>
          <w:tcPr>
            <w:tcW w:w="2439" w:type="dxa"/>
          </w:tcPr>
          <w:p w14:paraId="71C174E2" w14:textId="420BC7F0" w:rsidR="00784BE7" w:rsidRPr="00131909" w:rsidRDefault="00957146" w:rsidP="00957146">
            <w:pPr>
              <w:pStyle w:val="NoSpacing"/>
              <w:spacing w:after="120"/>
              <w:rPr>
                <w:rFonts w:ascii="Arial" w:hAnsi="Arial" w:cs="Arial"/>
                <w:sz w:val="22"/>
                <w:szCs w:val="22"/>
              </w:rPr>
            </w:pPr>
            <w:r w:rsidRPr="00957146">
              <w:rPr>
                <w:rFonts w:ascii="Arial" w:hAnsi="Arial" w:cs="Arial"/>
                <w:sz w:val="22"/>
                <w:szCs w:val="22"/>
              </w:rPr>
              <w:t>Can</w:t>
            </w:r>
            <w:r>
              <w:rPr>
                <w:rFonts w:ascii="Arial" w:hAnsi="Arial" w:cs="Arial"/>
                <w:sz w:val="22"/>
                <w:szCs w:val="22"/>
              </w:rPr>
              <w:t xml:space="preserve"> be broken into phases.  No Lan</w:t>
            </w:r>
            <w:r w:rsidRPr="00957146">
              <w:rPr>
                <w:rFonts w:ascii="Arial" w:hAnsi="Arial" w:cs="Arial"/>
                <w:sz w:val="22"/>
                <w:szCs w:val="22"/>
              </w:rPr>
              <w:t>d or planning per</w:t>
            </w:r>
            <w:r>
              <w:rPr>
                <w:rFonts w:ascii="Arial" w:hAnsi="Arial" w:cs="Arial"/>
                <w:sz w:val="22"/>
                <w:szCs w:val="22"/>
              </w:rPr>
              <w:t>mission reqd.  Milestones seem optimistic.</w:t>
            </w:r>
            <w:r w:rsidRPr="00957146">
              <w:rPr>
                <w:rFonts w:ascii="Arial" w:hAnsi="Arial" w:cs="Arial"/>
                <w:sz w:val="22"/>
                <w:szCs w:val="22"/>
              </w:rPr>
              <w:t xml:space="preserve">  </w:t>
            </w:r>
          </w:p>
        </w:tc>
      </w:tr>
      <w:tr w:rsidR="00957146" w:rsidRPr="00131909" w14:paraId="1F7F3AB5" w14:textId="25AE065A" w:rsidTr="008864CA">
        <w:trPr>
          <w:cantSplit/>
        </w:trPr>
        <w:tc>
          <w:tcPr>
            <w:tcW w:w="1843" w:type="dxa"/>
          </w:tcPr>
          <w:p w14:paraId="446A33E6" w14:textId="5A401007" w:rsidR="00784BE7" w:rsidRPr="00131909" w:rsidRDefault="00784BE7" w:rsidP="00991313">
            <w:pPr>
              <w:pStyle w:val="NoSpacing"/>
              <w:spacing w:after="120"/>
              <w:rPr>
                <w:rFonts w:ascii="Arial" w:hAnsi="Arial" w:cs="Arial"/>
                <w:sz w:val="22"/>
                <w:szCs w:val="22"/>
                <w:u w:val="single"/>
              </w:rPr>
            </w:pPr>
            <w:r w:rsidRPr="00131909">
              <w:rPr>
                <w:rFonts w:ascii="Arial" w:hAnsi="Arial" w:cs="Arial"/>
                <w:sz w:val="22"/>
                <w:szCs w:val="22"/>
              </w:rPr>
              <w:t>Sutton Way Boulevard, Ellesmere Port</w:t>
            </w:r>
          </w:p>
        </w:tc>
        <w:tc>
          <w:tcPr>
            <w:tcW w:w="1984" w:type="dxa"/>
          </w:tcPr>
          <w:p w14:paraId="3955D758" w14:textId="2055F8C7" w:rsidR="00784BE7" w:rsidRPr="00131909" w:rsidRDefault="00957146" w:rsidP="00784BE7">
            <w:pPr>
              <w:pStyle w:val="NoSpacing"/>
              <w:spacing w:after="120"/>
              <w:rPr>
                <w:rFonts w:ascii="Arial" w:hAnsi="Arial" w:cs="Arial"/>
                <w:sz w:val="22"/>
                <w:szCs w:val="22"/>
              </w:rPr>
            </w:pPr>
            <w:r>
              <w:rPr>
                <w:rFonts w:ascii="Arial" w:hAnsi="Arial" w:cs="Arial"/>
                <w:sz w:val="22"/>
                <w:szCs w:val="22"/>
              </w:rPr>
              <w:t xml:space="preserve">Good strategic fit linking </w:t>
            </w:r>
            <w:r w:rsidRPr="00957146">
              <w:rPr>
                <w:rFonts w:ascii="Arial" w:hAnsi="Arial" w:cs="Arial"/>
                <w:sz w:val="22"/>
                <w:szCs w:val="22"/>
              </w:rPr>
              <w:t xml:space="preserve">town centre with the Western Fringe and residential areas and provide a link to Chester by joining up with </w:t>
            </w:r>
            <w:proofErr w:type="spellStart"/>
            <w:r w:rsidRPr="00957146">
              <w:rPr>
                <w:rFonts w:ascii="Arial" w:hAnsi="Arial" w:cs="Arial"/>
                <w:sz w:val="22"/>
                <w:szCs w:val="22"/>
              </w:rPr>
              <w:t>St</w:t>
            </w:r>
            <w:r>
              <w:rPr>
                <w:rFonts w:ascii="Arial" w:hAnsi="Arial" w:cs="Arial"/>
                <w:sz w:val="22"/>
                <w:szCs w:val="22"/>
              </w:rPr>
              <w:t>a</w:t>
            </w:r>
            <w:r w:rsidRPr="00957146">
              <w:rPr>
                <w:rFonts w:ascii="Arial" w:hAnsi="Arial" w:cs="Arial"/>
                <w:sz w:val="22"/>
                <w:szCs w:val="22"/>
              </w:rPr>
              <w:t>nney</w:t>
            </w:r>
            <w:proofErr w:type="spellEnd"/>
            <w:r w:rsidRPr="00957146">
              <w:rPr>
                <w:rFonts w:ascii="Arial" w:hAnsi="Arial" w:cs="Arial"/>
                <w:sz w:val="22"/>
                <w:szCs w:val="22"/>
              </w:rPr>
              <w:t xml:space="preserve"> Lane.</w:t>
            </w:r>
          </w:p>
        </w:tc>
        <w:tc>
          <w:tcPr>
            <w:tcW w:w="1644" w:type="dxa"/>
          </w:tcPr>
          <w:p w14:paraId="2D332E2D" w14:textId="648388DC" w:rsidR="00784BE7" w:rsidRPr="00544E1A" w:rsidRDefault="00544E1A" w:rsidP="00784BE7">
            <w:pPr>
              <w:pStyle w:val="NoSpacing"/>
              <w:spacing w:after="120"/>
              <w:rPr>
                <w:rFonts w:ascii="Arial" w:hAnsi="Arial" w:cs="Arial"/>
                <w:sz w:val="22"/>
                <w:szCs w:val="22"/>
              </w:rPr>
            </w:pPr>
            <w:r w:rsidRPr="00544E1A">
              <w:rPr>
                <w:rFonts w:ascii="Arial" w:hAnsi="Arial" w:cs="Arial"/>
                <w:sz w:val="22"/>
                <w:szCs w:val="22"/>
              </w:rPr>
              <w:t>Good outputs in terms of supporting numbers of pedestrians and cyclists</w:t>
            </w:r>
          </w:p>
        </w:tc>
        <w:tc>
          <w:tcPr>
            <w:tcW w:w="1446" w:type="dxa"/>
          </w:tcPr>
          <w:p w14:paraId="0D7EC419" w14:textId="1D35B8F8" w:rsidR="00784BE7" w:rsidRPr="00131909" w:rsidRDefault="00957146" w:rsidP="00784BE7">
            <w:pPr>
              <w:pStyle w:val="NoSpacing"/>
              <w:spacing w:after="120"/>
              <w:rPr>
                <w:rFonts w:ascii="Arial" w:hAnsi="Arial" w:cs="Arial"/>
                <w:sz w:val="22"/>
                <w:szCs w:val="22"/>
              </w:rPr>
            </w:pPr>
            <w:r>
              <w:rPr>
                <w:rFonts w:ascii="Arial" w:hAnsi="Arial" w:cs="Arial"/>
                <w:sz w:val="22"/>
                <w:szCs w:val="22"/>
              </w:rPr>
              <w:t>Very high BCR</w:t>
            </w:r>
          </w:p>
        </w:tc>
        <w:tc>
          <w:tcPr>
            <w:tcW w:w="2439" w:type="dxa"/>
          </w:tcPr>
          <w:p w14:paraId="2036751A" w14:textId="092E445C" w:rsidR="00784BE7" w:rsidRPr="00131909" w:rsidRDefault="00957146" w:rsidP="00544E1A">
            <w:pPr>
              <w:pStyle w:val="NoSpacing"/>
              <w:spacing w:after="120"/>
              <w:rPr>
                <w:rFonts w:ascii="Arial" w:hAnsi="Arial" w:cs="Arial"/>
                <w:sz w:val="22"/>
                <w:szCs w:val="22"/>
              </w:rPr>
            </w:pPr>
            <w:r w:rsidRPr="00957146">
              <w:rPr>
                <w:rFonts w:ascii="Arial" w:hAnsi="Arial" w:cs="Arial"/>
                <w:sz w:val="22"/>
                <w:szCs w:val="22"/>
              </w:rPr>
              <w:t xml:space="preserve">May be issues securing the land around the flats.  5 phases to scheme.  Not programmed to complete until March </w:t>
            </w:r>
            <w:r w:rsidR="00544E1A">
              <w:rPr>
                <w:rFonts w:ascii="Arial" w:hAnsi="Arial" w:cs="Arial"/>
                <w:sz w:val="22"/>
                <w:szCs w:val="22"/>
              </w:rPr>
              <w:t>20</w:t>
            </w:r>
            <w:r w:rsidRPr="00957146">
              <w:rPr>
                <w:rFonts w:ascii="Arial" w:hAnsi="Arial" w:cs="Arial"/>
                <w:sz w:val="22"/>
                <w:szCs w:val="22"/>
              </w:rPr>
              <w:t>21</w:t>
            </w:r>
          </w:p>
        </w:tc>
      </w:tr>
      <w:tr w:rsidR="00957146" w:rsidRPr="00131909" w14:paraId="326097D1" w14:textId="64372815" w:rsidTr="008864CA">
        <w:trPr>
          <w:cantSplit/>
        </w:trPr>
        <w:tc>
          <w:tcPr>
            <w:tcW w:w="1843" w:type="dxa"/>
          </w:tcPr>
          <w:p w14:paraId="6EFBFABB" w14:textId="77777777" w:rsidR="00784BE7" w:rsidRPr="00131909" w:rsidRDefault="00784BE7" w:rsidP="00991313">
            <w:pPr>
              <w:pStyle w:val="NoSpacing"/>
              <w:spacing w:after="120"/>
              <w:rPr>
                <w:rFonts w:ascii="Arial" w:hAnsi="Arial" w:cs="Arial"/>
                <w:sz w:val="22"/>
                <w:szCs w:val="22"/>
              </w:rPr>
            </w:pPr>
            <w:r w:rsidRPr="00131909">
              <w:rPr>
                <w:rFonts w:ascii="Arial" w:hAnsi="Arial" w:cs="Arial"/>
                <w:sz w:val="22"/>
                <w:szCs w:val="22"/>
              </w:rPr>
              <w:t xml:space="preserve">Station View and Canal Towpath Enhancement </w:t>
            </w:r>
          </w:p>
        </w:tc>
        <w:tc>
          <w:tcPr>
            <w:tcW w:w="1984" w:type="dxa"/>
          </w:tcPr>
          <w:p w14:paraId="53CED4FD" w14:textId="7A24A784" w:rsidR="00784BE7" w:rsidRPr="00131909" w:rsidRDefault="00544E1A" w:rsidP="00784BE7">
            <w:pPr>
              <w:pStyle w:val="NoSpacing"/>
              <w:spacing w:after="120"/>
              <w:rPr>
                <w:rFonts w:ascii="Arial" w:hAnsi="Arial" w:cs="Arial"/>
                <w:sz w:val="22"/>
                <w:szCs w:val="22"/>
              </w:rPr>
            </w:pPr>
            <w:r>
              <w:rPr>
                <w:rFonts w:ascii="Arial" w:hAnsi="Arial" w:cs="Arial"/>
                <w:sz w:val="22"/>
                <w:szCs w:val="22"/>
              </w:rPr>
              <w:t>Good strategic fit linking Ellesmere Port and Chester</w:t>
            </w:r>
          </w:p>
        </w:tc>
        <w:tc>
          <w:tcPr>
            <w:tcW w:w="1644" w:type="dxa"/>
          </w:tcPr>
          <w:p w14:paraId="40CDCDE5" w14:textId="2AF1038D" w:rsidR="00784BE7" w:rsidRPr="00131909" w:rsidRDefault="00544E1A" w:rsidP="00784BE7">
            <w:pPr>
              <w:pStyle w:val="NoSpacing"/>
              <w:spacing w:after="120"/>
              <w:rPr>
                <w:rFonts w:ascii="Arial" w:hAnsi="Arial" w:cs="Arial"/>
                <w:sz w:val="22"/>
                <w:szCs w:val="22"/>
              </w:rPr>
            </w:pPr>
            <w:r w:rsidRPr="00544E1A">
              <w:rPr>
                <w:rFonts w:ascii="Arial" w:hAnsi="Arial" w:cs="Arial"/>
                <w:sz w:val="22"/>
                <w:szCs w:val="22"/>
              </w:rPr>
              <w:t>Good outputs in terms of supporting numbers of pedestrians and cyclists</w:t>
            </w:r>
            <w:r>
              <w:rPr>
                <w:rFonts w:ascii="Arial" w:hAnsi="Arial" w:cs="Arial"/>
                <w:sz w:val="22"/>
                <w:szCs w:val="22"/>
              </w:rPr>
              <w:t xml:space="preserve"> and supporting access to jobs</w:t>
            </w:r>
          </w:p>
        </w:tc>
        <w:tc>
          <w:tcPr>
            <w:tcW w:w="1446" w:type="dxa"/>
          </w:tcPr>
          <w:p w14:paraId="4E239806" w14:textId="586D41DB" w:rsidR="00784BE7" w:rsidRPr="00131909" w:rsidRDefault="00544E1A" w:rsidP="00784BE7">
            <w:pPr>
              <w:pStyle w:val="NoSpacing"/>
              <w:spacing w:after="120"/>
              <w:rPr>
                <w:rFonts w:ascii="Arial" w:hAnsi="Arial" w:cs="Arial"/>
                <w:sz w:val="22"/>
                <w:szCs w:val="22"/>
              </w:rPr>
            </w:pPr>
            <w:r>
              <w:rPr>
                <w:rFonts w:ascii="Arial" w:hAnsi="Arial" w:cs="Arial"/>
                <w:sz w:val="22"/>
                <w:szCs w:val="22"/>
              </w:rPr>
              <w:t>High BCR. Very expensive scheme</w:t>
            </w:r>
            <w:r w:rsidR="001B761F">
              <w:rPr>
                <w:rFonts w:ascii="Arial" w:hAnsi="Arial" w:cs="Arial"/>
                <w:sz w:val="22"/>
                <w:szCs w:val="22"/>
              </w:rPr>
              <w:t>.  Replace of bridge comprising a significant element of the costs.</w:t>
            </w:r>
          </w:p>
        </w:tc>
        <w:tc>
          <w:tcPr>
            <w:tcW w:w="2439" w:type="dxa"/>
          </w:tcPr>
          <w:p w14:paraId="33098BF7" w14:textId="5DD72DAD" w:rsidR="00784BE7" w:rsidRPr="00131909" w:rsidRDefault="00544E1A" w:rsidP="008864CA">
            <w:pPr>
              <w:pStyle w:val="NoSpacing"/>
              <w:spacing w:after="120"/>
              <w:rPr>
                <w:rFonts w:ascii="Arial" w:hAnsi="Arial" w:cs="Arial"/>
                <w:sz w:val="22"/>
                <w:szCs w:val="22"/>
              </w:rPr>
            </w:pPr>
            <w:r w:rsidRPr="00544E1A">
              <w:rPr>
                <w:rFonts w:ascii="Arial" w:hAnsi="Arial" w:cs="Arial"/>
                <w:sz w:val="22"/>
                <w:szCs w:val="22"/>
              </w:rPr>
              <w:t xml:space="preserve">Need NR permissions </w:t>
            </w:r>
            <w:r>
              <w:rPr>
                <w:rFonts w:ascii="Arial" w:hAnsi="Arial" w:cs="Arial"/>
                <w:sz w:val="22"/>
                <w:szCs w:val="22"/>
              </w:rPr>
              <w:t xml:space="preserve">and track access </w:t>
            </w:r>
            <w:r w:rsidRPr="00544E1A">
              <w:rPr>
                <w:rFonts w:ascii="Arial" w:hAnsi="Arial" w:cs="Arial"/>
                <w:sz w:val="22"/>
                <w:szCs w:val="22"/>
              </w:rPr>
              <w:t xml:space="preserve">to build </w:t>
            </w:r>
            <w:r w:rsidR="001B761F">
              <w:rPr>
                <w:rFonts w:ascii="Arial" w:hAnsi="Arial" w:cs="Arial"/>
                <w:sz w:val="22"/>
                <w:szCs w:val="22"/>
              </w:rPr>
              <w:t xml:space="preserve">the </w:t>
            </w:r>
            <w:r w:rsidRPr="00544E1A">
              <w:rPr>
                <w:rFonts w:ascii="Arial" w:hAnsi="Arial" w:cs="Arial"/>
                <w:sz w:val="22"/>
                <w:szCs w:val="22"/>
              </w:rPr>
              <w:t>bridge, therefore</w:t>
            </w:r>
            <w:r>
              <w:rPr>
                <w:rFonts w:ascii="Arial" w:hAnsi="Arial" w:cs="Arial"/>
                <w:sz w:val="22"/>
                <w:szCs w:val="22"/>
              </w:rPr>
              <w:t xml:space="preserve"> risks to</w:t>
            </w:r>
            <w:r w:rsidRPr="00544E1A">
              <w:rPr>
                <w:rFonts w:ascii="Arial" w:hAnsi="Arial" w:cs="Arial"/>
                <w:sz w:val="22"/>
                <w:szCs w:val="22"/>
              </w:rPr>
              <w:t xml:space="preserve"> delivery</w:t>
            </w:r>
            <w:r>
              <w:rPr>
                <w:rFonts w:ascii="Arial" w:hAnsi="Arial" w:cs="Arial"/>
                <w:sz w:val="22"/>
                <w:szCs w:val="22"/>
              </w:rPr>
              <w:t xml:space="preserve"> timetable</w:t>
            </w:r>
            <w:r w:rsidRPr="00544E1A">
              <w:rPr>
                <w:rFonts w:ascii="Arial" w:hAnsi="Arial" w:cs="Arial"/>
                <w:sz w:val="22"/>
                <w:szCs w:val="22"/>
              </w:rPr>
              <w:t xml:space="preserve">.    No land or planning </w:t>
            </w:r>
            <w:proofErr w:type="spellStart"/>
            <w:r w:rsidRPr="00544E1A">
              <w:rPr>
                <w:rFonts w:ascii="Arial" w:hAnsi="Arial" w:cs="Arial"/>
                <w:sz w:val="22"/>
                <w:szCs w:val="22"/>
              </w:rPr>
              <w:t>Pemission</w:t>
            </w:r>
            <w:proofErr w:type="spellEnd"/>
            <w:r w:rsidRPr="00544E1A">
              <w:rPr>
                <w:rFonts w:ascii="Arial" w:hAnsi="Arial" w:cs="Arial"/>
                <w:sz w:val="22"/>
                <w:szCs w:val="22"/>
              </w:rPr>
              <w:t xml:space="preserve"> req</w:t>
            </w:r>
            <w:r>
              <w:rPr>
                <w:rFonts w:ascii="Arial" w:hAnsi="Arial" w:cs="Arial"/>
                <w:sz w:val="22"/>
                <w:szCs w:val="22"/>
              </w:rPr>
              <w:t>uired</w:t>
            </w:r>
            <w:r w:rsidRPr="00544E1A">
              <w:rPr>
                <w:rFonts w:ascii="Arial" w:hAnsi="Arial" w:cs="Arial"/>
                <w:sz w:val="22"/>
                <w:szCs w:val="22"/>
              </w:rPr>
              <w:t>.</w:t>
            </w:r>
            <w:r w:rsidR="008864CA" w:rsidRPr="00544E1A">
              <w:rPr>
                <w:rFonts w:ascii="Arial" w:hAnsi="Arial" w:cs="Arial"/>
                <w:sz w:val="22"/>
                <w:szCs w:val="22"/>
              </w:rPr>
              <w:t xml:space="preserve"> Can be delivered in phases.  </w:t>
            </w:r>
          </w:p>
        </w:tc>
      </w:tr>
      <w:tr w:rsidR="00957146" w:rsidRPr="00131909" w14:paraId="2FD05016" w14:textId="104B5082" w:rsidTr="008864CA">
        <w:trPr>
          <w:cantSplit/>
        </w:trPr>
        <w:tc>
          <w:tcPr>
            <w:tcW w:w="1843" w:type="dxa"/>
          </w:tcPr>
          <w:p w14:paraId="3EAD0DA9" w14:textId="77777777" w:rsidR="00784BE7" w:rsidRPr="00131909" w:rsidRDefault="00784BE7" w:rsidP="00991313">
            <w:pPr>
              <w:pStyle w:val="NoSpacing"/>
              <w:spacing w:after="120"/>
              <w:rPr>
                <w:rFonts w:ascii="Arial" w:hAnsi="Arial" w:cs="Arial"/>
                <w:sz w:val="22"/>
                <w:szCs w:val="22"/>
                <w:u w:val="single"/>
              </w:rPr>
            </w:pPr>
            <w:r w:rsidRPr="00131909">
              <w:rPr>
                <w:rFonts w:ascii="Arial" w:hAnsi="Arial" w:cs="Arial"/>
                <w:sz w:val="22"/>
                <w:szCs w:val="22"/>
              </w:rPr>
              <w:lastRenderedPageBreak/>
              <w:t xml:space="preserve">Trans Pennine Trail upgrade </w:t>
            </w:r>
            <w:r w:rsidRPr="00131909">
              <w:rPr>
                <w:rFonts w:ascii="Arial" w:hAnsi="Arial" w:cs="Arial"/>
                <w:sz w:val="22"/>
                <w:szCs w:val="22"/>
              </w:rPr>
              <w:tab/>
              <w:t xml:space="preserve"> </w:t>
            </w:r>
          </w:p>
        </w:tc>
        <w:tc>
          <w:tcPr>
            <w:tcW w:w="1984" w:type="dxa"/>
          </w:tcPr>
          <w:p w14:paraId="0FF1D2FB" w14:textId="684BA3EF" w:rsidR="00784BE7" w:rsidRPr="00131909" w:rsidRDefault="00544E1A" w:rsidP="00784BE7">
            <w:pPr>
              <w:pStyle w:val="NoSpacing"/>
              <w:spacing w:after="120"/>
              <w:rPr>
                <w:rFonts w:ascii="Arial" w:hAnsi="Arial" w:cs="Arial"/>
                <w:sz w:val="22"/>
                <w:szCs w:val="22"/>
              </w:rPr>
            </w:pPr>
            <w:r>
              <w:rPr>
                <w:rFonts w:ascii="Arial" w:hAnsi="Arial" w:cs="Arial"/>
                <w:sz w:val="22"/>
                <w:szCs w:val="22"/>
              </w:rPr>
              <w:t>Good strategic fit,</w:t>
            </w:r>
            <w:r w:rsidR="008864CA">
              <w:rPr>
                <w:rFonts w:ascii="Arial" w:hAnsi="Arial" w:cs="Arial"/>
                <w:sz w:val="22"/>
                <w:szCs w:val="22"/>
              </w:rPr>
              <w:t xml:space="preserve"> </w:t>
            </w:r>
            <w:r w:rsidR="008864CA" w:rsidRPr="008864CA">
              <w:rPr>
                <w:rFonts w:ascii="Arial" w:hAnsi="Arial" w:cs="Arial"/>
                <w:sz w:val="22"/>
                <w:szCs w:val="22"/>
              </w:rPr>
              <w:t>link</w:t>
            </w:r>
            <w:r w:rsidR="008864CA">
              <w:rPr>
                <w:rFonts w:ascii="Arial" w:hAnsi="Arial" w:cs="Arial"/>
                <w:sz w:val="22"/>
                <w:szCs w:val="22"/>
              </w:rPr>
              <w:t>ing</w:t>
            </w:r>
            <w:r w:rsidR="008864CA" w:rsidRPr="008864CA">
              <w:rPr>
                <w:rFonts w:ascii="Arial" w:hAnsi="Arial" w:cs="Arial"/>
                <w:sz w:val="22"/>
                <w:szCs w:val="22"/>
              </w:rPr>
              <w:t xml:space="preserve"> r</w:t>
            </w:r>
            <w:r w:rsidR="008864CA">
              <w:rPr>
                <w:rFonts w:ascii="Arial" w:hAnsi="Arial" w:cs="Arial"/>
                <w:sz w:val="22"/>
                <w:szCs w:val="22"/>
              </w:rPr>
              <w:t>esidential and employment sites, plus tourism route.</w:t>
            </w:r>
          </w:p>
        </w:tc>
        <w:tc>
          <w:tcPr>
            <w:tcW w:w="1644" w:type="dxa"/>
          </w:tcPr>
          <w:p w14:paraId="4B379EB5" w14:textId="0E3A2738" w:rsidR="00784BE7" w:rsidRPr="00131909" w:rsidRDefault="008864CA" w:rsidP="00784BE7">
            <w:pPr>
              <w:pStyle w:val="NoSpacing"/>
              <w:spacing w:after="120"/>
              <w:rPr>
                <w:rFonts w:ascii="Arial" w:hAnsi="Arial" w:cs="Arial"/>
                <w:sz w:val="22"/>
                <w:szCs w:val="22"/>
                <w:u w:val="single"/>
              </w:rPr>
            </w:pPr>
            <w:r w:rsidRPr="00544E1A">
              <w:rPr>
                <w:rFonts w:ascii="Arial" w:hAnsi="Arial" w:cs="Arial"/>
                <w:sz w:val="22"/>
                <w:szCs w:val="22"/>
              </w:rPr>
              <w:t>Good outputs in terms of supporting numbers of pedestrians and cyclists</w:t>
            </w:r>
          </w:p>
        </w:tc>
        <w:tc>
          <w:tcPr>
            <w:tcW w:w="1446" w:type="dxa"/>
          </w:tcPr>
          <w:p w14:paraId="02FE8642" w14:textId="67FF3A6D" w:rsidR="00784BE7" w:rsidRPr="00131909" w:rsidRDefault="008864CA" w:rsidP="00784BE7">
            <w:pPr>
              <w:pStyle w:val="NoSpacing"/>
              <w:spacing w:after="120"/>
              <w:rPr>
                <w:rFonts w:ascii="Arial" w:hAnsi="Arial" w:cs="Arial"/>
                <w:sz w:val="22"/>
                <w:szCs w:val="22"/>
              </w:rPr>
            </w:pPr>
            <w:r>
              <w:rPr>
                <w:rFonts w:ascii="Arial" w:hAnsi="Arial" w:cs="Arial"/>
                <w:sz w:val="22"/>
                <w:szCs w:val="22"/>
              </w:rPr>
              <w:t>Very high BCR</w:t>
            </w:r>
          </w:p>
        </w:tc>
        <w:tc>
          <w:tcPr>
            <w:tcW w:w="2439" w:type="dxa"/>
          </w:tcPr>
          <w:p w14:paraId="345C5389" w14:textId="6A40E118" w:rsidR="00784BE7" w:rsidRPr="00131909" w:rsidRDefault="008864CA" w:rsidP="008864CA">
            <w:pPr>
              <w:pStyle w:val="NoSpacing"/>
              <w:spacing w:after="120"/>
              <w:rPr>
                <w:rFonts w:ascii="Arial" w:hAnsi="Arial" w:cs="Arial"/>
                <w:sz w:val="22"/>
                <w:szCs w:val="22"/>
              </w:rPr>
            </w:pPr>
            <w:r w:rsidRPr="008864CA">
              <w:rPr>
                <w:rFonts w:ascii="Arial" w:hAnsi="Arial" w:cs="Arial"/>
                <w:sz w:val="22"/>
                <w:szCs w:val="22"/>
              </w:rPr>
              <w:t xml:space="preserve">Scheme can be broken down into two elements.  No planning </w:t>
            </w:r>
            <w:r>
              <w:rPr>
                <w:rFonts w:ascii="Arial" w:hAnsi="Arial" w:cs="Arial"/>
                <w:sz w:val="22"/>
                <w:szCs w:val="22"/>
              </w:rPr>
              <w:t>p</w:t>
            </w:r>
            <w:r w:rsidRPr="008864CA">
              <w:rPr>
                <w:rFonts w:ascii="Arial" w:hAnsi="Arial" w:cs="Arial"/>
                <w:sz w:val="22"/>
                <w:szCs w:val="22"/>
              </w:rPr>
              <w:t>ermission or land required.  Not forecast to start until May 20</w:t>
            </w:r>
            <w:r>
              <w:rPr>
                <w:rFonts w:ascii="Arial" w:hAnsi="Arial" w:cs="Arial"/>
                <w:sz w:val="22"/>
                <w:szCs w:val="22"/>
              </w:rPr>
              <w:t>20</w:t>
            </w:r>
          </w:p>
        </w:tc>
      </w:tr>
      <w:tr w:rsidR="00957146" w:rsidRPr="00131909" w14:paraId="22DA5C69" w14:textId="54FD6D1C" w:rsidTr="008864CA">
        <w:trPr>
          <w:cantSplit/>
        </w:trPr>
        <w:tc>
          <w:tcPr>
            <w:tcW w:w="1843" w:type="dxa"/>
          </w:tcPr>
          <w:p w14:paraId="659D16A9" w14:textId="77777777" w:rsidR="00784BE7" w:rsidRPr="00131909" w:rsidRDefault="00784BE7" w:rsidP="00991313">
            <w:pPr>
              <w:pStyle w:val="NoSpacing"/>
              <w:spacing w:after="120"/>
              <w:rPr>
                <w:rFonts w:ascii="Arial" w:hAnsi="Arial" w:cs="Arial"/>
                <w:sz w:val="22"/>
                <w:szCs w:val="22"/>
              </w:rPr>
            </w:pPr>
            <w:r w:rsidRPr="00131909">
              <w:rPr>
                <w:rFonts w:ascii="Arial" w:hAnsi="Arial" w:cs="Arial"/>
                <w:sz w:val="22"/>
                <w:szCs w:val="22"/>
              </w:rPr>
              <w:t xml:space="preserve">Chester Road promenade route </w:t>
            </w:r>
          </w:p>
        </w:tc>
        <w:tc>
          <w:tcPr>
            <w:tcW w:w="1984" w:type="dxa"/>
          </w:tcPr>
          <w:p w14:paraId="567B33D9" w14:textId="57817259" w:rsidR="00784BE7" w:rsidRPr="00131909" w:rsidRDefault="008864CA" w:rsidP="00784BE7">
            <w:pPr>
              <w:pStyle w:val="NoSpacing"/>
              <w:spacing w:after="120"/>
              <w:rPr>
                <w:rFonts w:ascii="Arial" w:hAnsi="Arial" w:cs="Arial"/>
                <w:sz w:val="22"/>
                <w:szCs w:val="22"/>
              </w:rPr>
            </w:pPr>
            <w:r>
              <w:rPr>
                <w:rFonts w:ascii="Arial" w:hAnsi="Arial" w:cs="Arial"/>
                <w:sz w:val="22"/>
                <w:szCs w:val="22"/>
              </w:rPr>
              <w:t>Good strategic fit linking to Centre Park Link and Trans-Pennine Way</w:t>
            </w:r>
          </w:p>
        </w:tc>
        <w:tc>
          <w:tcPr>
            <w:tcW w:w="1644" w:type="dxa"/>
          </w:tcPr>
          <w:p w14:paraId="4F80FF98" w14:textId="2991E685" w:rsidR="00784BE7" w:rsidRPr="00131909" w:rsidRDefault="008864CA" w:rsidP="00784BE7">
            <w:pPr>
              <w:pStyle w:val="NoSpacing"/>
              <w:spacing w:after="120"/>
              <w:rPr>
                <w:rFonts w:ascii="Arial" w:hAnsi="Arial" w:cs="Arial"/>
                <w:sz w:val="22"/>
                <w:szCs w:val="22"/>
              </w:rPr>
            </w:pPr>
            <w:r w:rsidRPr="00544E1A">
              <w:rPr>
                <w:rFonts w:ascii="Arial" w:hAnsi="Arial" w:cs="Arial"/>
                <w:sz w:val="22"/>
                <w:szCs w:val="22"/>
              </w:rPr>
              <w:t>Good outputs in terms of supporting numbers of pedestrians and cyclists</w:t>
            </w:r>
          </w:p>
        </w:tc>
        <w:tc>
          <w:tcPr>
            <w:tcW w:w="1446" w:type="dxa"/>
          </w:tcPr>
          <w:p w14:paraId="0B3FD0C6" w14:textId="5D45569B" w:rsidR="00784BE7" w:rsidRPr="00131909" w:rsidRDefault="008864CA" w:rsidP="00784BE7">
            <w:pPr>
              <w:pStyle w:val="NoSpacing"/>
              <w:spacing w:after="120"/>
              <w:rPr>
                <w:rFonts w:ascii="Arial" w:hAnsi="Arial" w:cs="Arial"/>
                <w:sz w:val="22"/>
                <w:szCs w:val="22"/>
              </w:rPr>
            </w:pPr>
            <w:r>
              <w:rPr>
                <w:rFonts w:ascii="Arial" w:hAnsi="Arial" w:cs="Arial"/>
                <w:sz w:val="22"/>
                <w:szCs w:val="22"/>
              </w:rPr>
              <w:t>High BCR</w:t>
            </w:r>
          </w:p>
        </w:tc>
        <w:tc>
          <w:tcPr>
            <w:tcW w:w="2439" w:type="dxa"/>
          </w:tcPr>
          <w:p w14:paraId="194FA9CF" w14:textId="486F85D5" w:rsidR="00784BE7" w:rsidRPr="00131909" w:rsidRDefault="008864CA" w:rsidP="008864CA">
            <w:pPr>
              <w:pStyle w:val="NoSpacing"/>
              <w:spacing w:after="120"/>
              <w:rPr>
                <w:rFonts w:ascii="Arial" w:hAnsi="Arial" w:cs="Arial"/>
                <w:sz w:val="22"/>
                <w:szCs w:val="22"/>
              </w:rPr>
            </w:pPr>
            <w:r w:rsidRPr="008864CA">
              <w:rPr>
                <w:rFonts w:ascii="Arial" w:hAnsi="Arial" w:cs="Arial"/>
                <w:sz w:val="22"/>
                <w:szCs w:val="22"/>
              </w:rPr>
              <w:t xml:space="preserve">Design competition may delay scheme but could provide great innovation.  No planning permission required, </w:t>
            </w:r>
            <w:r>
              <w:rPr>
                <w:rFonts w:ascii="Arial" w:hAnsi="Arial" w:cs="Arial"/>
                <w:sz w:val="22"/>
                <w:szCs w:val="22"/>
              </w:rPr>
              <w:t>but unclear about land ownership. C</w:t>
            </w:r>
            <w:r w:rsidRPr="008864CA">
              <w:rPr>
                <w:rFonts w:ascii="Arial" w:hAnsi="Arial" w:cs="Arial"/>
                <w:sz w:val="22"/>
                <w:szCs w:val="22"/>
              </w:rPr>
              <w:t>onsultation</w:t>
            </w:r>
            <w:r>
              <w:rPr>
                <w:rFonts w:ascii="Arial" w:hAnsi="Arial" w:cs="Arial"/>
                <w:sz w:val="22"/>
                <w:szCs w:val="22"/>
              </w:rPr>
              <w:t xml:space="preserve"> not yet undertaken</w:t>
            </w:r>
            <w:r w:rsidRPr="008864CA">
              <w:rPr>
                <w:rFonts w:ascii="Arial" w:hAnsi="Arial" w:cs="Arial"/>
                <w:sz w:val="22"/>
                <w:szCs w:val="22"/>
              </w:rPr>
              <w:t xml:space="preserve">. </w:t>
            </w:r>
          </w:p>
        </w:tc>
      </w:tr>
      <w:tr w:rsidR="00957146" w:rsidRPr="00131909" w14:paraId="417952DE" w14:textId="20322D7D" w:rsidTr="008864CA">
        <w:trPr>
          <w:cantSplit/>
        </w:trPr>
        <w:tc>
          <w:tcPr>
            <w:tcW w:w="1843" w:type="dxa"/>
          </w:tcPr>
          <w:p w14:paraId="2E17FB17" w14:textId="77777777" w:rsidR="00784BE7" w:rsidRPr="00131909" w:rsidRDefault="00784BE7" w:rsidP="00991313">
            <w:pPr>
              <w:pStyle w:val="NoSpacing"/>
              <w:spacing w:after="120"/>
              <w:rPr>
                <w:rFonts w:ascii="Arial" w:hAnsi="Arial" w:cs="Arial"/>
                <w:sz w:val="22"/>
                <w:szCs w:val="22"/>
                <w:u w:val="single"/>
              </w:rPr>
            </w:pPr>
            <w:proofErr w:type="spellStart"/>
            <w:r w:rsidRPr="00131909">
              <w:rPr>
                <w:rFonts w:ascii="Arial" w:hAnsi="Arial" w:cs="Arial"/>
                <w:sz w:val="22"/>
                <w:szCs w:val="22"/>
              </w:rPr>
              <w:t>Burtonwood</w:t>
            </w:r>
            <w:proofErr w:type="spellEnd"/>
            <w:r w:rsidRPr="00131909">
              <w:rPr>
                <w:rFonts w:ascii="Arial" w:hAnsi="Arial" w:cs="Arial"/>
                <w:sz w:val="22"/>
                <w:szCs w:val="22"/>
              </w:rPr>
              <w:t xml:space="preserve"> to Omega shared use path </w:t>
            </w:r>
          </w:p>
        </w:tc>
        <w:tc>
          <w:tcPr>
            <w:tcW w:w="1984" w:type="dxa"/>
          </w:tcPr>
          <w:p w14:paraId="69087E1D" w14:textId="301DCA61" w:rsidR="00784BE7" w:rsidRPr="00131909" w:rsidRDefault="008864CA" w:rsidP="00784BE7">
            <w:pPr>
              <w:pStyle w:val="NoSpacing"/>
              <w:spacing w:after="120"/>
              <w:rPr>
                <w:rFonts w:ascii="Arial" w:hAnsi="Arial" w:cs="Arial"/>
                <w:sz w:val="22"/>
                <w:szCs w:val="22"/>
              </w:rPr>
            </w:pPr>
            <w:r>
              <w:rPr>
                <w:rFonts w:ascii="Arial" w:hAnsi="Arial" w:cs="Arial"/>
                <w:sz w:val="22"/>
                <w:szCs w:val="22"/>
              </w:rPr>
              <w:t xml:space="preserve">Good strategic fit </w:t>
            </w:r>
            <w:r w:rsidRPr="008864CA">
              <w:rPr>
                <w:rFonts w:ascii="Arial" w:hAnsi="Arial" w:cs="Arial"/>
                <w:sz w:val="22"/>
                <w:szCs w:val="22"/>
              </w:rPr>
              <w:t>link</w:t>
            </w:r>
            <w:r>
              <w:rPr>
                <w:rFonts w:ascii="Arial" w:hAnsi="Arial" w:cs="Arial"/>
                <w:sz w:val="22"/>
                <w:szCs w:val="22"/>
              </w:rPr>
              <w:t>ing</w:t>
            </w:r>
            <w:r w:rsidRPr="008864CA">
              <w:rPr>
                <w:rFonts w:ascii="Arial" w:hAnsi="Arial" w:cs="Arial"/>
                <w:sz w:val="22"/>
                <w:szCs w:val="22"/>
              </w:rPr>
              <w:t xml:space="preserve"> to the Omega site which now employs 7000+ and the Gemini retail park that employs 2000+.</w:t>
            </w:r>
          </w:p>
        </w:tc>
        <w:tc>
          <w:tcPr>
            <w:tcW w:w="1644" w:type="dxa"/>
          </w:tcPr>
          <w:p w14:paraId="05DB19CC" w14:textId="588D4B32" w:rsidR="00784BE7" w:rsidRPr="00131909" w:rsidRDefault="008864CA" w:rsidP="00784BE7">
            <w:pPr>
              <w:pStyle w:val="NoSpacing"/>
              <w:spacing w:after="120"/>
              <w:rPr>
                <w:rFonts w:ascii="Arial" w:hAnsi="Arial" w:cs="Arial"/>
                <w:sz w:val="22"/>
                <w:szCs w:val="22"/>
                <w:u w:val="single"/>
              </w:rPr>
            </w:pPr>
            <w:r w:rsidRPr="00544E1A">
              <w:rPr>
                <w:rFonts w:ascii="Arial" w:hAnsi="Arial" w:cs="Arial"/>
                <w:sz w:val="22"/>
                <w:szCs w:val="22"/>
              </w:rPr>
              <w:t>Good outputs in terms of supporting numbers of pedestrians and cyclists</w:t>
            </w:r>
          </w:p>
        </w:tc>
        <w:tc>
          <w:tcPr>
            <w:tcW w:w="1446" w:type="dxa"/>
          </w:tcPr>
          <w:p w14:paraId="64E93E97" w14:textId="52207B01" w:rsidR="00784BE7" w:rsidRPr="00131909" w:rsidRDefault="008864CA" w:rsidP="00784BE7">
            <w:pPr>
              <w:pStyle w:val="NoSpacing"/>
              <w:spacing w:after="120"/>
              <w:rPr>
                <w:rFonts w:ascii="Arial" w:hAnsi="Arial" w:cs="Arial"/>
                <w:sz w:val="22"/>
                <w:szCs w:val="22"/>
              </w:rPr>
            </w:pPr>
            <w:r>
              <w:rPr>
                <w:rFonts w:ascii="Arial" w:hAnsi="Arial" w:cs="Arial"/>
                <w:sz w:val="22"/>
                <w:szCs w:val="22"/>
              </w:rPr>
              <w:t>Very high BCR</w:t>
            </w:r>
          </w:p>
        </w:tc>
        <w:tc>
          <w:tcPr>
            <w:tcW w:w="2439" w:type="dxa"/>
          </w:tcPr>
          <w:p w14:paraId="4007CC3B" w14:textId="0111F83E" w:rsidR="00784BE7" w:rsidRPr="00131909" w:rsidRDefault="008864CA" w:rsidP="008864CA">
            <w:pPr>
              <w:pStyle w:val="NoSpacing"/>
              <w:spacing w:after="120"/>
              <w:rPr>
                <w:rFonts w:ascii="Arial" w:hAnsi="Arial" w:cs="Arial"/>
                <w:sz w:val="22"/>
                <w:szCs w:val="22"/>
              </w:rPr>
            </w:pPr>
            <w:r w:rsidRPr="008864CA">
              <w:rPr>
                <w:rFonts w:ascii="Arial" w:hAnsi="Arial" w:cs="Arial"/>
                <w:sz w:val="22"/>
                <w:szCs w:val="22"/>
              </w:rPr>
              <w:t xml:space="preserve">Outline design completed, planning permission not required but multiple land owners.  </w:t>
            </w:r>
          </w:p>
        </w:tc>
      </w:tr>
    </w:tbl>
    <w:p w14:paraId="6208F146" w14:textId="77777777" w:rsidR="001240CB" w:rsidRPr="009E3A09" w:rsidRDefault="001240CB" w:rsidP="001240CB">
      <w:pPr>
        <w:pStyle w:val="NoSpacing"/>
        <w:spacing w:after="120"/>
        <w:ind w:left="709"/>
        <w:jc w:val="both"/>
        <w:rPr>
          <w:rFonts w:ascii="Arial" w:hAnsi="Arial" w:cs="Arial"/>
          <w:sz w:val="22"/>
          <w:szCs w:val="22"/>
        </w:rPr>
      </w:pPr>
    </w:p>
    <w:sectPr w:rsidR="001240CB" w:rsidRPr="009E3A09" w:rsidSect="005A6705">
      <w:footerReference w:type="default" r:id="rId13"/>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89DFA" w14:textId="77777777" w:rsidR="00486DE8" w:rsidRDefault="00486DE8">
      <w:r>
        <w:separator/>
      </w:r>
    </w:p>
  </w:endnote>
  <w:endnote w:type="continuationSeparator" w:id="0">
    <w:p w14:paraId="11DE8785" w14:textId="77777777" w:rsidR="00486DE8" w:rsidRDefault="004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2312"/>
      <w:docPartObj>
        <w:docPartGallery w:val="Page Numbers (Bottom of Page)"/>
        <w:docPartUnique/>
      </w:docPartObj>
    </w:sdtPr>
    <w:sdtEndPr>
      <w:rPr>
        <w:noProof/>
      </w:rPr>
    </w:sdtEndPr>
    <w:sdtContent>
      <w:p w14:paraId="3DBD1834" w14:textId="7DE2A718" w:rsidR="00580F8D" w:rsidRDefault="00580F8D">
        <w:pPr>
          <w:pStyle w:val="Footer"/>
          <w:jc w:val="center"/>
        </w:pPr>
        <w:r>
          <w:fldChar w:fldCharType="begin"/>
        </w:r>
        <w:r>
          <w:instrText xml:space="preserve"> PAGE   \* MERGEFORMAT </w:instrText>
        </w:r>
        <w:r>
          <w:fldChar w:fldCharType="separate"/>
        </w:r>
        <w:r w:rsidR="00A558A9">
          <w:rPr>
            <w:noProof/>
          </w:rPr>
          <w:t>5</w:t>
        </w:r>
        <w:r>
          <w:rPr>
            <w:noProof/>
          </w:rPr>
          <w:fldChar w:fldCharType="end"/>
        </w:r>
      </w:p>
    </w:sdtContent>
  </w:sdt>
  <w:p w14:paraId="498565E9" w14:textId="77777777" w:rsidR="00580F8D" w:rsidRDefault="0058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A9EF" w14:textId="77777777" w:rsidR="00486DE8" w:rsidRDefault="00486DE8">
      <w:r>
        <w:separator/>
      </w:r>
    </w:p>
  </w:footnote>
  <w:footnote w:type="continuationSeparator" w:id="0">
    <w:p w14:paraId="1CE93BD8" w14:textId="77777777" w:rsidR="00486DE8" w:rsidRDefault="00486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BF0"/>
    <w:multiLevelType w:val="hybridMultilevel"/>
    <w:tmpl w:val="15C0C288"/>
    <w:lvl w:ilvl="0" w:tplc="83E2E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82DCE"/>
    <w:multiLevelType w:val="hybridMultilevel"/>
    <w:tmpl w:val="E90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92DED"/>
    <w:multiLevelType w:val="hybridMultilevel"/>
    <w:tmpl w:val="4EB02F9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nsid w:val="08C2225E"/>
    <w:multiLevelType w:val="hybridMultilevel"/>
    <w:tmpl w:val="39FCCC5C"/>
    <w:lvl w:ilvl="0" w:tplc="C96E07B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07A51FE"/>
    <w:multiLevelType w:val="hybridMultilevel"/>
    <w:tmpl w:val="837A48F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nsid w:val="1167528D"/>
    <w:multiLevelType w:val="hybridMultilevel"/>
    <w:tmpl w:val="4A4E2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0A025B"/>
    <w:multiLevelType w:val="hybridMultilevel"/>
    <w:tmpl w:val="38128C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CEA6B7D"/>
    <w:multiLevelType w:val="hybridMultilevel"/>
    <w:tmpl w:val="CC4C1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5712F"/>
    <w:multiLevelType w:val="hybridMultilevel"/>
    <w:tmpl w:val="EDA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B6514"/>
    <w:multiLevelType w:val="hybridMultilevel"/>
    <w:tmpl w:val="DB2A99EE"/>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0">
    <w:nsid w:val="20714B63"/>
    <w:multiLevelType w:val="hybridMultilevel"/>
    <w:tmpl w:val="94C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D74FB"/>
    <w:multiLevelType w:val="multilevel"/>
    <w:tmpl w:val="10EED0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D20E5B"/>
    <w:multiLevelType w:val="hybridMultilevel"/>
    <w:tmpl w:val="CE7877C2"/>
    <w:lvl w:ilvl="0" w:tplc="1CCAE07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29F97818"/>
    <w:multiLevelType w:val="hybridMultilevel"/>
    <w:tmpl w:val="E32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771904"/>
    <w:multiLevelType w:val="hybridMultilevel"/>
    <w:tmpl w:val="A97EB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35746342"/>
    <w:multiLevelType w:val="hybridMultilevel"/>
    <w:tmpl w:val="56AC86E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nsid w:val="35E70D49"/>
    <w:multiLevelType w:val="hybridMultilevel"/>
    <w:tmpl w:val="C68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F6C43"/>
    <w:multiLevelType w:val="hybridMultilevel"/>
    <w:tmpl w:val="4AB0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041DF9"/>
    <w:multiLevelType w:val="hybridMultilevel"/>
    <w:tmpl w:val="1340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B771C5"/>
    <w:multiLevelType w:val="hybridMultilevel"/>
    <w:tmpl w:val="E3A49D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3DEB15EA"/>
    <w:multiLevelType w:val="hybridMultilevel"/>
    <w:tmpl w:val="B320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27763"/>
    <w:multiLevelType w:val="hybridMultilevel"/>
    <w:tmpl w:val="BCBA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3169D4"/>
    <w:multiLevelType w:val="hybridMultilevel"/>
    <w:tmpl w:val="8F06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3E6AAD"/>
    <w:multiLevelType w:val="hybridMultilevel"/>
    <w:tmpl w:val="5B0C62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4A17147F"/>
    <w:multiLevelType w:val="hybridMultilevel"/>
    <w:tmpl w:val="107E1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40142A"/>
    <w:multiLevelType w:val="hybridMultilevel"/>
    <w:tmpl w:val="7DA8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8B6B5E"/>
    <w:multiLevelType w:val="hybridMultilevel"/>
    <w:tmpl w:val="AD30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2D5495"/>
    <w:multiLevelType w:val="hybridMultilevel"/>
    <w:tmpl w:val="216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4A6E0E"/>
    <w:multiLevelType w:val="hybridMultilevel"/>
    <w:tmpl w:val="B24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DB314E"/>
    <w:multiLevelType w:val="hybridMultilevel"/>
    <w:tmpl w:val="79D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895D7C"/>
    <w:multiLevelType w:val="multilevel"/>
    <w:tmpl w:val="65DC1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23A138D"/>
    <w:multiLevelType w:val="hybridMultilevel"/>
    <w:tmpl w:val="6DF2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F5B16"/>
    <w:multiLevelType w:val="hybridMultilevel"/>
    <w:tmpl w:val="6A00ECEE"/>
    <w:lvl w:ilvl="0" w:tplc="04B26276">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6E8363E1"/>
    <w:multiLevelType w:val="hybridMultilevel"/>
    <w:tmpl w:val="E51E3A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F3F12D0"/>
    <w:multiLevelType w:val="hybridMultilevel"/>
    <w:tmpl w:val="F37A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735C4"/>
    <w:multiLevelType w:val="multilevel"/>
    <w:tmpl w:val="03EA693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92B4575"/>
    <w:multiLevelType w:val="hybridMultilevel"/>
    <w:tmpl w:val="9404C95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35"/>
  </w:num>
  <w:num w:numId="2">
    <w:abstractNumId w:val="31"/>
  </w:num>
  <w:num w:numId="3">
    <w:abstractNumId w:val="27"/>
  </w:num>
  <w:num w:numId="4">
    <w:abstractNumId w:val="29"/>
  </w:num>
  <w:num w:numId="5">
    <w:abstractNumId w:val="13"/>
  </w:num>
  <w:num w:numId="6">
    <w:abstractNumId w:val="15"/>
  </w:num>
  <w:num w:numId="7">
    <w:abstractNumId w:val="18"/>
  </w:num>
  <w:num w:numId="8">
    <w:abstractNumId w:val="16"/>
  </w:num>
  <w:num w:numId="9">
    <w:abstractNumId w:val="34"/>
  </w:num>
  <w:num w:numId="10">
    <w:abstractNumId w:val="8"/>
  </w:num>
  <w:num w:numId="11">
    <w:abstractNumId w:val="7"/>
  </w:num>
  <w:num w:numId="12">
    <w:abstractNumId w:val="20"/>
  </w:num>
  <w:num w:numId="13">
    <w:abstractNumId w:val="1"/>
  </w:num>
  <w:num w:numId="14">
    <w:abstractNumId w:val="36"/>
  </w:num>
  <w:num w:numId="15">
    <w:abstractNumId w:val="14"/>
  </w:num>
  <w:num w:numId="16">
    <w:abstractNumId w:val="4"/>
  </w:num>
  <w:num w:numId="17">
    <w:abstractNumId w:val="30"/>
  </w:num>
  <w:num w:numId="18">
    <w:abstractNumId w:val="2"/>
  </w:num>
  <w:num w:numId="19">
    <w:abstractNumId w:val="10"/>
  </w:num>
  <w:num w:numId="20">
    <w:abstractNumId w:val="28"/>
  </w:num>
  <w:num w:numId="21">
    <w:abstractNumId w:val="26"/>
  </w:num>
  <w:num w:numId="22">
    <w:abstractNumId w:val="12"/>
  </w:num>
  <w:num w:numId="23">
    <w:abstractNumId w:val="3"/>
  </w:num>
  <w:num w:numId="24">
    <w:abstractNumId w:val="25"/>
  </w:num>
  <w:num w:numId="25">
    <w:abstractNumId w:val="21"/>
  </w:num>
  <w:num w:numId="26">
    <w:abstractNumId w:val="5"/>
  </w:num>
  <w:num w:numId="27">
    <w:abstractNumId w:val="22"/>
  </w:num>
  <w:num w:numId="28">
    <w:abstractNumId w:val="33"/>
  </w:num>
  <w:num w:numId="29">
    <w:abstractNumId w:val="9"/>
  </w:num>
  <w:num w:numId="30">
    <w:abstractNumId w:val="19"/>
  </w:num>
  <w:num w:numId="31">
    <w:abstractNumId w:val="17"/>
  </w:num>
  <w:num w:numId="32">
    <w:abstractNumId w:val="6"/>
  </w:num>
  <w:num w:numId="33">
    <w:abstractNumId w:val="11"/>
  </w:num>
  <w:num w:numId="34">
    <w:abstractNumId w:val="32"/>
  </w:num>
  <w:num w:numId="35">
    <w:abstractNumId w:val="0"/>
  </w:num>
  <w:num w:numId="36">
    <w:abstractNumId w:val="24"/>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6"/>
    <w:rsid w:val="000054ED"/>
    <w:rsid w:val="00005E35"/>
    <w:rsid w:val="00006641"/>
    <w:rsid w:val="00014F00"/>
    <w:rsid w:val="000314A2"/>
    <w:rsid w:val="00031A84"/>
    <w:rsid w:val="00032EE5"/>
    <w:rsid w:val="000338E5"/>
    <w:rsid w:val="00035D08"/>
    <w:rsid w:val="00036173"/>
    <w:rsid w:val="0003733C"/>
    <w:rsid w:val="0004392D"/>
    <w:rsid w:val="00054B16"/>
    <w:rsid w:val="000571F5"/>
    <w:rsid w:val="00066677"/>
    <w:rsid w:val="000708B6"/>
    <w:rsid w:val="00084960"/>
    <w:rsid w:val="000934E0"/>
    <w:rsid w:val="0009595D"/>
    <w:rsid w:val="000A0943"/>
    <w:rsid w:val="000A221C"/>
    <w:rsid w:val="000A2CEF"/>
    <w:rsid w:val="000C6D8C"/>
    <w:rsid w:val="000D1942"/>
    <w:rsid w:val="000D54D3"/>
    <w:rsid w:val="000D699B"/>
    <w:rsid w:val="000D6A5C"/>
    <w:rsid w:val="000E05FF"/>
    <w:rsid w:val="000F34FD"/>
    <w:rsid w:val="000F426A"/>
    <w:rsid w:val="000F722F"/>
    <w:rsid w:val="00102C73"/>
    <w:rsid w:val="0010388B"/>
    <w:rsid w:val="00104E51"/>
    <w:rsid w:val="00112A66"/>
    <w:rsid w:val="00114D46"/>
    <w:rsid w:val="001240CB"/>
    <w:rsid w:val="0012618D"/>
    <w:rsid w:val="001273C4"/>
    <w:rsid w:val="00131909"/>
    <w:rsid w:val="00136997"/>
    <w:rsid w:val="0014041C"/>
    <w:rsid w:val="0014462C"/>
    <w:rsid w:val="001479C2"/>
    <w:rsid w:val="00154685"/>
    <w:rsid w:val="00155895"/>
    <w:rsid w:val="00156302"/>
    <w:rsid w:val="00162DB2"/>
    <w:rsid w:val="00167ED3"/>
    <w:rsid w:val="00186EDF"/>
    <w:rsid w:val="00195A65"/>
    <w:rsid w:val="001A15F6"/>
    <w:rsid w:val="001A2E3E"/>
    <w:rsid w:val="001B761F"/>
    <w:rsid w:val="001C0E9C"/>
    <w:rsid w:val="001C21D2"/>
    <w:rsid w:val="001C4E5C"/>
    <w:rsid w:val="001D21F8"/>
    <w:rsid w:val="001D4E9E"/>
    <w:rsid w:val="001D7FAD"/>
    <w:rsid w:val="001E4AC0"/>
    <w:rsid w:val="00206C84"/>
    <w:rsid w:val="00206F69"/>
    <w:rsid w:val="0022204F"/>
    <w:rsid w:val="0022629F"/>
    <w:rsid w:val="00226863"/>
    <w:rsid w:val="00237818"/>
    <w:rsid w:val="002520F2"/>
    <w:rsid w:val="00252FB2"/>
    <w:rsid w:val="002534C4"/>
    <w:rsid w:val="00256750"/>
    <w:rsid w:val="002608A9"/>
    <w:rsid w:val="00265DF6"/>
    <w:rsid w:val="00272180"/>
    <w:rsid w:val="00276121"/>
    <w:rsid w:val="00287C97"/>
    <w:rsid w:val="002A1CA4"/>
    <w:rsid w:val="002A2187"/>
    <w:rsid w:val="002B67BE"/>
    <w:rsid w:val="002B75DE"/>
    <w:rsid w:val="002D2141"/>
    <w:rsid w:val="002D4FAC"/>
    <w:rsid w:val="002F1FDF"/>
    <w:rsid w:val="002F7A4B"/>
    <w:rsid w:val="00323821"/>
    <w:rsid w:val="00323BB0"/>
    <w:rsid w:val="003331EF"/>
    <w:rsid w:val="003412C2"/>
    <w:rsid w:val="0034515A"/>
    <w:rsid w:val="003524CA"/>
    <w:rsid w:val="00353550"/>
    <w:rsid w:val="003558F1"/>
    <w:rsid w:val="003567E6"/>
    <w:rsid w:val="003573D4"/>
    <w:rsid w:val="0036215D"/>
    <w:rsid w:val="003678D4"/>
    <w:rsid w:val="0037068A"/>
    <w:rsid w:val="00374751"/>
    <w:rsid w:val="00375010"/>
    <w:rsid w:val="0038699C"/>
    <w:rsid w:val="00386B70"/>
    <w:rsid w:val="003946F8"/>
    <w:rsid w:val="003961BA"/>
    <w:rsid w:val="003B1462"/>
    <w:rsid w:val="003B3857"/>
    <w:rsid w:val="003C1EE2"/>
    <w:rsid w:val="003C7973"/>
    <w:rsid w:val="003E1596"/>
    <w:rsid w:val="003E6190"/>
    <w:rsid w:val="003E66FF"/>
    <w:rsid w:val="003F3FC1"/>
    <w:rsid w:val="003F5E8C"/>
    <w:rsid w:val="003F6BCF"/>
    <w:rsid w:val="004032F3"/>
    <w:rsid w:val="00406832"/>
    <w:rsid w:val="00411DC3"/>
    <w:rsid w:val="00414146"/>
    <w:rsid w:val="00415CCE"/>
    <w:rsid w:val="0043641D"/>
    <w:rsid w:val="004376A2"/>
    <w:rsid w:val="004429F0"/>
    <w:rsid w:val="00443699"/>
    <w:rsid w:val="00446330"/>
    <w:rsid w:val="00447CC9"/>
    <w:rsid w:val="004506D0"/>
    <w:rsid w:val="00462C1B"/>
    <w:rsid w:val="0046348B"/>
    <w:rsid w:val="00463643"/>
    <w:rsid w:val="00464399"/>
    <w:rsid w:val="00465A22"/>
    <w:rsid w:val="0048446E"/>
    <w:rsid w:val="00486DE8"/>
    <w:rsid w:val="00492689"/>
    <w:rsid w:val="00493786"/>
    <w:rsid w:val="0049394C"/>
    <w:rsid w:val="004B2176"/>
    <w:rsid w:val="004B4D7F"/>
    <w:rsid w:val="004B7337"/>
    <w:rsid w:val="004C07C0"/>
    <w:rsid w:val="004C338B"/>
    <w:rsid w:val="004C50A7"/>
    <w:rsid w:val="004D2129"/>
    <w:rsid w:val="004D23DC"/>
    <w:rsid w:val="004D4C05"/>
    <w:rsid w:val="004D5134"/>
    <w:rsid w:val="004E2DF7"/>
    <w:rsid w:val="004E3D99"/>
    <w:rsid w:val="004F0EC7"/>
    <w:rsid w:val="005073B4"/>
    <w:rsid w:val="005079A1"/>
    <w:rsid w:val="00507C6D"/>
    <w:rsid w:val="00514ED7"/>
    <w:rsid w:val="00523B40"/>
    <w:rsid w:val="00525195"/>
    <w:rsid w:val="005275BC"/>
    <w:rsid w:val="005307F5"/>
    <w:rsid w:val="00534E04"/>
    <w:rsid w:val="00535F12"/>
    <w:rsid w:val="005367FF"/>
    <w:rsid w:val="00544E1A"/>
    <w:rsid w:val="00553A1F"/>
    <w:rsid w:val="005553FF"/>
    <w:rsid w:val="005559C9"/>
    <w:rsid w:val="00560FD7"/>
    <w:rsid w:val="0056303F"/>
    <w:rsid w:val="005634D1"/>
    <w:rsid w:val="0056535E"/>
    <w:rsid w:val="005729DE"/>
    <w:rsid w:val="00580F8D"/>
    <w:rsid w:val="00583CDD"/>
    <w:rsid w:val="005852B5"/>
    <w:rsid w:val="00591F49"/>
    <w:rsid w:val="005965EB"/>
    <w:rsid w:val="00596D85"/>
    <w:rsid w:val="005A6705"/>
    <w:rsid w:val="005C1FCC"/>
    <w:rsid w:val="005C7990"/>
    <w:rsid w:val="005D1FFD"/>
    <w:rsid w:val="005D4806"/>
    <w:rsid w:val="005E1836"/>
    <w:rsid w:val="005E2D58"/>
    <w:rsid w:val="005E76A2"/>
    <w:rsid w:val="005F413E"/>
    <w:rsid w:val="005F5C0F"/>
    <w:rsid w:val="005F5E58"/>
    <w:rsid w:val="00605CCE"/>
    <w:rsid w:val="00606896"/>
    <w:rsid w:val="00606CD6"/>
    <w:rsid w:val="006074CC"/>
    <w:rsid w:val="006139A7"/>
    <w:rsid w:val="00620F26"/>
    <w:rsid w:val="00621875"/>
    <w:rsid w:val="00623782"/>
    <w:rsid w:val="0062751F"/>
    <w:rsid w:val="00646364"/>
    <w:rsid w:val="006528EB"/>
    <w:rsid w:val="006536A2"/>
    <w:rsid w:val="00664057"/>
    <w:rsid w:val="00672385"/>
    <w:rsid w:val="00677E40"/>
    <w:rsid w:val="00677EF7"/>
    <w:rsid w:val="006815FB"/>
    <w:rsid w:val="00690FD2"/>
    <w:rsid w:val="0069273B"/>
    <w:rsid w:val="00692DAC"/>
    <w:rsid w:val="006A0FBE"/>
    <w:rsid w:val="006A4280"/>
    <w:rsid w:val="006A5349"/>
    <w:rsid w:val="006A67AB"/>
    <w:rsid w:val="006B06B9"/>
    <w:rsid w:val="006B096E"/>
    <w:rsid w:val="006B31FC"/>
    <w:rsid w:val="006B7366"/>
    <w:rsid w:val="006C1719"/>
    <w:rsid w:val="006C2B30"/>
    <w:rsid w:val="006E180B"/>
    <w:rsid w:val="006F2DED"/>
    <w:rsid w:val="006F5AEC"/>
    <w:rsid w:val="00700872"/>
    <w:rsid w:val="00710969"/>
    <w:rsid w:val="00716A93"/>
    <w:rsid w:val="00727F06"/>
    <w:rsid w:val="00736944"/>
    <w:rsid w:val="00741E2D"/>
    <w:rsid w:val="00743829"/>
    <w:rsid w:val="00743E47"/>
    <w:rsid w:val="007550A3"/>
    <w:rsid w:val="007556FC"/>
    <w:rsid w:val="00761EED"/>
    <w:rsid w:val="007631D1"/>
    <w:rsid w:val="00764137"/>
    <w:rsid w:val="007642D3"/>
    <w:rsid w:val="00767BD2"/>
    <w:rsid w:val="0077088B"/>
    <w:rsid w:val="00770BD1"/>
    <w:rsid w:val="0077145F"/>
    <w:rsid w:val="0077185E"/>
    <w:rsid w:val="007779EC"/>
    <w:rsid w:val="00782FF1"/>
    <w:rsid w:val="00784BE7"/>
    <w:rsid w:val="0079109F"/>
    <w:rsid w:val="00791B28"/>
    <w:rsid w:val="00795272"/>
    <w:rsid w:val="007A05E1"/>
    <w:rsid w:val="007A63AF"/>
    <w:rsid w:val="007B1475"/>
    <w:rsid w:val="007B4B5A"/>
    <w:rsid w:val="007B5CD2"/>
    <w:rsid w:val="007C0B63"/>
    <w:rsid w:val="007C0E8E"/>
    <w:rsid w:val="007C2461"/>
    <w:rsid w:val="007C65F4"/>
    <w:rsid w:val="007C706C"/>
    <w:rsid w:val="007D00AE"/>
    <w:rsid w:val="00804D31"/>
    <w:rsid w:val="00813701"/>
    <w:rsid w:val="00813789"/>
    <w:rsid w:val="008177A4"/>
    <w:rsid w:val="00830277"/>
    <w:rsid w:val="00842CE1"/>
    <w:rsid w:val="00843AB2"/>
    <w:rsid w:val="00844DED"/>
    <w:rsid w:val="008458A9"/>
    <w:rsid w:val="0084641E"/>
    <w:rsid w:val="00861B42"/>
    <w:rsid w:val="0086668E"/>
    <w:rsid w:val="00866B96"/>
    <w:rsid w:val="00873281"/>
    <w:rsid w:val="00875DEE"/>
    <w:rsid w:val="00880A4E"/>
    <w:rsid w:val="0088178E"/>
    <w:rsid w:val="00881BD6"/>
    <w:rsid w:val="00881E90"/>
    <w:rsid w:val="008864CA"/>
    <w:rsid w:val="0089535B"/>
    <w:rsid w:val="008A6064"/>
    <w:rsid w:val="008B265E"/>
    <w:rsid w:val="008B3E6D"/>
    <w:rsid w:val="008C2800"/>
    <w:rsid w:val="008C593F"/>
    <w:rsid w:val="008C76A5"/>
    <w:rsid w:val="008D0A00"/>
    <w:rsid w:val="008D4B32"/>
    <w:rsid w:val="008E2503"/>
    <w:rsid w:val="008E459D"/>
    <w:rsid w:val="009005DB"/>
    <w:rsid w:val="0090219A"/>
    <w:rsid w:val="009031BC"/>
    <w:rsid w:val="00907E17"/>
    <w:rsid w:val="0091020E"/>
    <w:rsid w:val="00915BC5"/>
    <w:rsid w:val="00917018"/>
    <w:rsid w:val="0093045F"/>
    <w:rsid w:val="00932AA6"/>
    <w:rsid w:val="00933591"/>
    <w:rsid w:val="00940D8A"/>
    <w:rsid w:val="009413CD"/>
    <w:rsid w:val="009424A4"/>
    <w:rsid w:val="00945AE5"/>
    <w:rsid w:val="00957146"/>
    <w:rsid w:val="00957660"/>
    <w:rsid w:val="009612DF"/>
    <w:rsid w:val="00961EC9"/>
    <w:rsid w:val="009630F4"/>
    <w:rsid w:val="009742A4"/>
    <w:rsid w:val="009813EA"/>
    <w:rsid w:val="009A395A"/>
    <w:rsid w:val="009B56CB"/>
    <w:rsid w:val="009B5FDC"/>
    <w:rsid w:val="009C6222"/>
    <w:rsid w:val="009E3A09"/>
    <w:rsid w:val="009E6BD4"/>
    <w:rsid w:val="009E7BC0"/>
    <w:rsid w:val="009F2D1B"/>
    <w:rsid w:val="009F2DCE"/>
    <w:rsid w:val="009F572A"/>
    <w:rsid w:val="00A06469"/>
    <w:rsid w:val="00A068AC"/>
    <w:rsid w:val="00A220DB"/>
    <w:rsid w:val="00A264EC"/>
    <w:rsid w:val="00A36A6A"/>
    <w:rsid w:val="00A445FE"/>
    <w:rsid w:val="00A558A9"/>
    <w:rsid w:val="00A636D5"/>
    <w:rsid w:val="00A64501"/>
    <w:rsid w:val="00A67BA7"/>
    <w:rsid w:val="00A74A5D"/>
    <w:rsid w:val="00A75220"/>
    <w:rsid w:val="00A815AE"/>
    <w:rsid w:val="00A81C94"/>
    <w:rsid w:val="00A875D3"/>
    <w:rsid w:val="00AB1074"/>
    <w:rsid w:val="00AB243F"/>
    <w:rsid w:val="00AB5945"/>
    <w:rsid w:val="00AC0010"/>
    <w:rsid w:val="00AC2E54"/>
    <w:rsid w:val="00AC6871"/>
    <w:rsid w:val="00AD01C9"/>
    <w:rsid w:val="00AD14D0"/>
    <w:rsid w:val="00AD592A"/>
    <w:rsid w:val="00AE01B4"/>
    <w:rsid w:val="00AE1772"/>
    <w:rsid w:val="00AE215B"/>
    <w:rsid w:val="00AF7C65"/>
    <w:rsid w:val="00B04788"/>
    <w:rsid w:val="00B2009C"/>
    <w:rsid w:val="00B2258C"/>
    <w:rsid w:val="00B2793A"/>
    <w:rsid w:val="00B3160A"/>
    <w:rsid w:val="00B31900"/>
    <w:rsid w:val="00B362A4"/>
    <w:rsid w:val="00B441AD"/>
    <w:rsid w:val="00B52424"/>
    <w:rsid w:val="00B53F41"/>
    <w:rsid w:val="00B61086"/>
    <w:rsid w:val="00B652B2"/>
    <w:rsid w:val="00B6706B"/>
    <w:rsid w:val="00B7175E"/>
    <w:rsid w:val="00B744DF"/>
    <w:rsid w:val="00B82133"/>
    <w:rsid w:val="00B8499C"/>
    <w:rsid w:val="00B85AC7"/>
    <w:rsid w:val="00B87A09"/>
    <w:rsid w:val="00BA1DC8"/>
    <w:rsid w:val="00BA234C"/>
    <w:rsid w:val="00BA2F1E"/>
    <w:rsid w:val="00BA5E39"/>
    <w:rsid w:val="00BC19AF"/>
    <w:rsid w:val="00BC22B9"/>
    <w:rsid w:val="00BC2469"/>
    <w:rsid w:val="00BC2DDF"/>
    <w:rsid w:val="00BC3CC4"/>
    <w:rsid w:val="00BC4D30"/>
    <w:rsid w:val="00BE42EA"/>
    <w:rsid w:val="00BF2E67"/>
    <w:rsid w:val="00BF3132"/>
    <w:rsid w:val="00BF4486"/>
    <w:rsid w:val="00C07361"/>
    <w:rsid w:val="00C10C32"/>
    <w:rsid w:val="00C173E7"/>
    <w:rsid w:val="00C17902"/>
    <w:rsid w:val="00C31655"/>
    <w:rsid w:val="00C31D46"/>
    <w:rsid w:val="00C327C9"/>
    <w:rsid w:val="00C337B9"/>
    <w:rsid w:val="00C3466E"/>
    <w:rsid w:val="00C34F36"/>
    <w:rsid w:val="00C46CFF"/>
    <w:rsid w:val="00C570E6"/>
    <w:rsid w:val="00C61490"/>
    <w:rsid w:val="00C61945"/>
    <w:rsid w:val="00C62BA3"/>
    <w:rsid w:val="00C652F8"/>
    <w:rsid w:val="00C6594F"/>
    <w:rsid w:val="00C7181E"/>
    <w:rsid w:val="00C726A1"/>
    <w:rsid w:val="00C73EAE"/>
    <w:rsid w:val="00C814AB"/>
    <w:rsid w:val="00C83D9D"/>
    <w:rsid w:val="00C85C5C"/>
    <w:rsid w:val="00C87DCA"/>
    <w:rsid w:val="00C97D44"/>
    <w:rsid w:val="00CA3397"/>
    <w:rsid w:val="00CA6CAB"/>
    <w:rsid w:val="00CC4999"/>
    <w:rsid w:val="00CC4C3B"/>
    <w:rsid w:val="00CC5C93"/>
    <w:rsid w:val="00CD16D0"/>
    <w:rsid w:val="00CD3F2F"/>
    <w:rsid w:val="00CD3F84"/>
    <w:rsid w:val="00CD797F"/>
    <w:rsid w:val="00CE71CF"/>
    <w:rsid w:val="00CF04B6"/>
    <w:rsid w:val="00CF2E9F"/>
    <w:rsid w:val="00D00964"/>
    <w:rsid w:val="00D07C16"/>
    <w:rsid w:val="00D177F4"/>
    <w:rsid w:val="00D24504"/>
    <w:rsid w:val="00D26595"/>
    <w:rsid w:val="00D30775"/>
    <w:rsid w:val="00D3279A"/>
    <w:rsid w:val="00D36F2F"/>
    <w:rsid w:val="00D37A50"/>
    <w:rsid w:val="00D41198"/>
    <w:rsid w:val="00D4449C"/>
    <w:rsid w:val="00D44E7C"/>
    <w:rsid w:val="00D4665E"/>
    <w:rsid w:val="00D62EF7"/>
    <w:rsid w:val="00D63884"/>
    <w:rsid w:val="00D646CD"/>
    <w:rsid w:val="00D66647"/>
    <w:rsid w:val="00D775A5"/>
    <w:rsid w:val="00D81BB0"/>
    <w:rsid w:val="00D858A9"/>
    <w:rsid w:val="00D91BDF"/>
    <w:rsid w:val="00DA3CF7"/>
    <w:rsid w:val="00DB49F2"/>
    <w:rsid w:val="00DB6954"/>
    <w:rsid w:val="00DD17A3"/>
    <w:rsid w:val="00DD278D"/>
    <w:rsid w:val="00DD3AEB"/>
    <w:rsid w:val="00DE12AF"/>
    <w:rsid w:val="00DE1CE0"/>
    <w:rsid w:val="00DE4744"/>
    <w:rsid w:val="00DE7670"/>
    <w:rsid w:val="00DF341D"/>
    <w:rsid w:val="00DF487D"/>
    <w:rsid w:val="00E02B91"/>
    <w:rsid w:val="00E0506C"/>
    <w:rsid w:val="00E1019A"/>
    <w:rsid w:val="00E15128"/>
    <w:rsid w:val="00E1640B"/>
    <w:rsid w:val="00E2240A"/>
    <w:rsid w:val="00E22844"/>
    <w:rsid w:val="00E243AE"/>
    <w:rsid w:val="00E40122"/>
    <w:rsid w:val="00E431E0"/>
    <w:rsid w:val="00E45C5F"/>
    <w:rsid w:val="00E506DA"/>
    <w:rsid w:val="00E5094D"/>
    <w:rsid w:val="00E55D85"/>
    <w:rsid w:val="00E56277"/>
    <w:rsid w:val="00E60981"/>
    <w:rsid w:val="00E72BF3"/>
    <w:rsid w:val="00E739EA"/>
    <w:rsid w:val="00E75CB4"/>
    <w:rsid w:val="00E764E6"/>
    <w:rsid w:val="00E819B9"/>
    <w:rsid w:val="00E8594D"/>
    <w:rsid w:val="00E9157E"/>
    <w:rsid w:val="00E92BAC"/>
    <w:rsid w:val="00E96EBE"/>
    <w:rsid w:val="00EA1ABD"/>
    <w:rsid w:val="00EA38E3"/>
    <w:rsid w:val="00EA542B"/>
    <w:rsid w:val="00EA5E0D"/>
    <w:rsid w:val="00EA751B"/>
    <w:rsid w:val="00EB1382"/>
    <w:rsid w:val="00EB3F3B"/>
    <w:rsid w:val="00EC2917"/>
    <w:rsid w:val="00EC6DA2"/>
    <w:rsid w:val="00EC7B49"/>
    <w:rsid w:val="00ED1375"/>
    <w:rsid w:val="00ED1542"/>
    <w:rsid w:val="00ED7EC2"/>
    <w:rsid w:val="00EE20B1"/>
    <w:rsid w:val="00EE36E2"/>
    <w:rsid w:val="00EE53B6"/>
    <w:rsid w:val="00EF1A1C"/>
    <w:rsid w:val="00EF29D8"/>
    <w:rsid w:val="00EF2EDC"/>
    <w:rsid w:val="00EF3BCF"/>
    <w:rsid w:val="00EF4419"/>
    <w:rsid w:val="00EF5726"/>
    <w:rsid w:val="00EF589D"/>
    <w:rsid w:val="00F068B7"/>
    <w:rsid w:val="00F11977"/>
    <w:rsid w:val="00F1554A"/>
    <w:rsid w:val="00F15E82"/>
    <w:rsid w:val="00F179C0"/>
    <w:rsid w:val="00F242B0"/>
    <w:rsid w:val="00F324BD"/>
    <w:rsid w:val="00F43648"/>
    <w:rsid w:val="00F43CC6"/>
    <w:rsid w:val="00F463B7"/>
    <w:rsid w:val="00F51E29"/>
    <w:rsid w:val="00F53741"/>
    <w:rsid w:val="00F61918"/>
    <w:rsid w:val="00F6382A"/>
    <w:rsid w:val="00F83530"/>
    <w:rsid w:val="00F86621"/>
    <w:rsid w:val="00FA00A3"/>
    <w:rsid w:val="00FB661E"/>
    <w:rsid w:val="00FB723B"/>
    <w:rsid w:val="00FB7F7A"/>
    <w:rsid w:val="00FC3A4E"/>
    <w:rsid w:val="00FD0337"/>
    <w:rsid w:val="00FD755A"/>
    <w:rsid w:val="00FD7A4F"/>
    <w:rsid w:val="00FE701E"/>
    <w:rsid w:val="00FE7F0D"/>
    <w:rsid w:val="00FF0D08"/>
    <w:rsid w:val="00FF36C0"/>
    <w:rsid w:val="00FF595C"/>
    <w:rsid w:val="00FF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85">
      <w:bodyDiv w:val="1"/>
      <w:marLeft w:val="0"/>
      <w:marRight w:val="0"/>
      <w:marTop w:val="0"/>
      <w:marBottom w:val="0"/>
      <w:divBdr>
        <w:top w:val="none" w:sz="0" w:space="0" w:color="auto"/>
        <w:left w:val="none" w:sz="0" w:space="0" w:color="auto"/>
        <w:bottom w:val="none" w:sz="0" w:space="0" w:color="auto"/>
        <w:right w:val="none" w:sz="0" w:space="0" w:color="auto"/>
      </w:divBdr>
      <w:divsChild>
        <w:div w:id="425662756">
          <w:marLeft w:val="0"/>
          <w:marRight w:val="0"/>
          <w:marTop w:val="0"/>
          <w:marBottom w:val="0"/>
          <w:divBdr>
            <w:top w:val="none" w:sz="0" w:space="0" w:color="auto"/>
            <w:left w:val="none" w:sz="0" w:space="0" w:color="auto"/>
            <w:bottom w:val="none" w:sz="0" w:space="0" w:color="auto"/>
            <w:right w:val="none" w:sz="0" w:space="0" w:color="auto"/>
          </w:divBdr>
          <w:divsChild>
            <w:div w:id="1874615230">
              <w:marLeft w:val="0"/>
              <w:marRight w:val="0"/>
              <w:marTop w:val="0"/>
              <w:marBottom w:val="0"/>
              <w:divBdr>
                <w:top w:val="none" w:sz="0" w:space="0" w:color="auto"/>
                <w:left w:val="none" w:sz="0" w:space="0" w:color="auto"/>
                <w:bottom w:val="none" w:sz="0" w:space="0" w:color="auto"/>
                <w:right w:val="none" w:sz="0" w:space="0" w:color="auto"/>
              </w:divBdr>
              <w:divsChild>
                <w:div w:id="1435319046">
                  <w:marLeft w:val="0"/>
                  <w:marRight w:val="0"/>
                  <w:marTop w:val="0"/>
                  <w:marBottom w:val="0"/>
                  <w:divBdr>
                    <w:top w:val="none" w:sz="0" w:space="0" w:color="auto"/>
                    <w:left w:val="none" w:sz="0" w:space="0" w:color="auto"/>
                    <w:bottom w:val="none" w:sz="0" w:space="0" w:color="auto"/>
                    <w:right w:val="none" w:sz="0" w:space="0" w:color="auto"/>
                  </w:divBdr>
                  <w:divsChild>
                    <w:div w:id="10744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3774">
      <w:bodyDiv w:val="1"/>
      <w:marLeft w:val="0"/>
      <w:marRight w:val="0"/>
      <w:marTop w:val="0"/>
      <w:marBottom w:val="0"/>
      <w:divBdr>
        <w:top w:val="none" w:sz="0" w:space="0" w:color="auto"/>
        <w:left w:val="none" w:sz="0" w:space="0" w:color="auto"/>
        <w:bottom w:val="none" w:sz="0" w:space="0" w:color="auto"/>
        <w:right w:val="none" w:sz="0" w:space="0" w:color="auto"/>
      </w:divBdr>
    </w:div>
    <w:div w:id="519389808">
      <w:bodyDiv w:val="1"/>
      <w:marLeft w:val="0"/>
      <w:marRight w:val="0"/>
      <w:marTop w:val="0"/>
      <w:marBottom w:val="0"/>
      <w:divBdr>
        <w:top w:val="none" w:sz="0" w:space="0" w:color="auto"/>
        <w:left w:val="none" w:sz="0" w:space="0" w:color="auto"/>
        <w:bottom w:val="none" w:sz="0" w:space="0" w:color="auto"/>
        <w:right w:val="none" w:sz="0" w:space="0" w:color="auto"/>
      </w:divBdr>
    </w:div>
    <w:div w:id="670644979">
      <w:bodyDiv w:val="1"/>
      <w:marLeft w:val="0"/>
      <w:marRight w:val="0"/>
      <w:marTop w:val="0"/>
      <w:marBottom w:val="0"/>
      <w:divBdr>
        <w:top w:val="none" w:sz="0" w:space="0" w:color="auto"/>
        <w:left w:val="none" w:sz="0" w:space="0" w:color="auto"/>
        <w:bottom w:val="none" w:sz="0" w:space="0" w:color="auto"/>
        <w:right w:val="none" w:sz="0" w:space="0" w:color="auto"/>
      </w:divBdr>
    </w:div>
    <w:div w:id="1180466240">
      <w:bodyDiv w:val="1"/>
      <w:marLeft w:val="0"/>
      <w:marRight w:val="0"/>
      <w:marTop w:val="0"/>
      <w:marBottom w:val="0"/>
      <w:divBdr>
        <w:top w:val="none" w:sz="0" w:space="0" w:color="auto"/>
        <w:left w:val="none" w:sz="0" w:space="0" w:color="auto"/>
        <w:bottom w:val="none" w:sz="0" w:space="0" w:color="auto"/>
        <w:right w:val="none" w:sz="0" w:space="0" w:color="auto"/>
      </w:divBdr>
    </w:div>
    <w:div w:id="1616325206">
      <w:bodyDiv w:val="1"/>
      <w:marLeft w:val="0"/>
      <w:marRight w:val="0"/>
      <w:marTop w:val="0"/>
      <w:marBottom w:val="0"/>
      <w:divBdr>
        <w:top w:val="none" w:sz="0" w:space="0" w:color="auto"/>
        <w:left w:val="none" w:sz="0" w:space="0" w:color="auto"/>
        <w:bottom w:val="none" w:sz="0" w:space="0" w:color="auto"/>
        <w:right w:val="none" w:sz="0" w:space="0" w:color="auto"/>
      </w:divBdr>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CFF754.E5CD8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FF754.E5CD8A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A3152-606B-4FA8-8720-38DC0403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CHESHIRE EAST COUNCIL</vt:lpstr>
    </vt:vector>
  </TitlesOfParts>
  <Company>CBC</Company>
  <LinksUpToDate>false</LinksUpToDate>
  <CharactersWithSpaces>19170</CharactersWithSpaces>
  <SharedDoc>false</SharedDoc>
  <HLinks>
    <vt:vector size="6" baseType="variant">
      <vt:variant>
        <vt:i4>7602252</vt:i4>
      </vt:variant>
      <vt:variant>
        <vt:i4>0</vt:i4>
      </vt:variant>
      <vt:variant>
        <vt:i4>0</vt:i4>
      </vt:variant>
      <vt:variant>
        <vt:i4>5</vt:i4>
      </vt:variant>
      <vt:variant>
        <vt:lpwstr>http://www.gov.uk/government/uploads/system/uploads/attachment_data/file/318212/northern-transpennine-consultation.pdf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COUNCIL</dc:title>
  <dc:creator>1313324</dc:creator>
  <cp:lastModifiedBy>Newton, Roy</cp:lastModifiedBy>
  <cp:revision>15</cp:revision>
  <cp:lastPrinted>2016-11-01T14:31:00Z</cp:lastPrinted>
  <dcterms:created xsi:type="dcterms:W3CDTF">2018-03-20T11:11:00Z</dcterms:created>
  <dcterms:modified xsi:type="dcterms:W3CDTF">2018-03-28T14:17:00Z</dcterms:modified>
</cp:coreProperties>
</file>